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97" w:rsidRPr="006F3511" w:rsidRDefault="00D67F97" w:rsidP="006F3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A324D6" w:rsidRDefault="00D67F97" w:rsidP="00A324D6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ПРОЕКТ </w:t>
      </w:r>
    </w:p>
    <w:p w:rsidR="00D67F97" w:rsidRPr="00A324D6" w:rsidRDefault="00D67F97" w:rsidP="00A324D6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A324D6" w:rsidRDefault="00D67F97" w:rsidP="00A324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ПОЯСНЮВАЛЬНА  ЗАПИСКА</w:t>
      </w:r>
    </w:p>
    <w:p w:rsidR="00D67F97" w:rsidRPr="00A324D6" w:rsidRDefault="00D67F97" w:rsidP="00A32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програми профілактики рецидивної злочинності  та правопорушень в                     </w:t>
      </w:r>
    </w:p>
    <w:p w:rsidR="00D67F97" w:rsidRPr="00A324D6" w:rsidRDefault="00D67F97" w:rsidP="00A32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Благовіщенському районі</w:t>
      </w: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на 2020-2023 роки</w:t>
      </w:r>
    </w:p>
    <w:p w:rsidR="00D67F97" w:rsidRPr="00A324D6" w:rsidRDefault="00D67F97" w:rsidP="00A32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Характеристика  стану речей в галузі, яку врегульовує це рішення: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відповідно до Закону України «Про пробацію» з метою цієї забезпечення підвищення загального рівня безпеки, зменшення кількості правопорушень, забезпечення безп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еки населення 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району в цілому шляхом розроблення  та здійснення комплексу заходів, спрямованих на усунення причин та умов учинення протиправних діянь, а також налагодження дієвої співпраці органів пробації та місцевих органів виконавчої влади в зазначеній сфері. 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Потреба і мета прийняття рішення: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забезпечення безпеки суспільства шляхом виправлення засуджених, запобігання вчиненню ними повторних кримінальних правопорушень та забезпечення суду інформацією, що характеризує обвинувачених, з метою прийняття судом рішення про міру їхньої відповідальності.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Прогнозовані суспільні, економічні, фінансові та юридичні наслідки прийняття рішення: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підвищення рівня контролю та нагляду  за засудженими особами, зменшення рівня вчинення кримінальних правопорушень особам, які відбувають покарання не пов’язані з позбавленням волі, в тому числі неповнолітніми клієнтами пробації, здійснення  профілактичних заходів серед підлітків та осіб молодіжного віку  щодо недопущення вчинення ними злочинів та правопорушень.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Механізм виконання рішення: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затвердження програми.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Порівняльна таблиця змін (у випадку, якщо проектом рішення пропонується внести зміни до існуючого рішення ради) :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не потребує.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Дата оприлюднення проекту рішення та назва ЗМІ, електронного видання, або іншого місця оприлюднення:  _______________</w:t>
      </w:r>
      <w:r w:rsidRPr="00A324D6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, 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сайт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Благовіщенської РДА</w:t>
      </w:r>
      <w:r w:rsidRPr="00A324D6">
        <w:rPr>
          <w:rFonts w:ascii="Times New Roman" w:hAnsi="Times New Roman" w:cs="Times New Roman"/>
          <w:sz w:val="20"/>
          <w:szCs w:val="20"/>
          <w:lang w:val="uk-UA" w:eastAsia="ru-RU"/>
        </w:rPr>
        <w:t>.</w:t>
      </w:r>
    </w:p>
    <w:p w:rsidR="00D67F97" w:rsidRPr="00A324D6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Дата, підпис та ПІБ суб’єкта подання проекту рішення:</w:t>
      </w: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________________________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D67F97" w:rsidRDefault="00D67F97" w:rsidP="00A324D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Дата отримання проекту рішення  та пояснювальної записки, що засвідчена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підписом</w:t>
      </w:r>
      <w:r w:rsidRPr="00A324D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та печаткою «Для документів».</w:t>
      </w:r>
    </w:p>
    <w:p w:rsidR="00D67F97" w:rsidRPr="00A324D6" w:rsidRDefault="00D67F97" w:rsidP="00800D1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24D6">
        <w:rPr>
          <w:rFonts w:ascii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______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підпис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Pr="004B0541" w:rsidRDefault="00D67F97" w:rsidP="004B05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4B0541" w:rsidRDefault="00D67F97" w:rsidP="004B0541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____________ сесія Благовіщенської районної</w:t>
      </w:r>
      <w:r w:rsidRPr="004B054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ради</w:t>
      </w:r>
    </w:p>
    <w:p w:rsidR="00D67F97" w:rsidRPr="004B0541" w:rsidRDefault="00D67F97" w:rsidP="004B0541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___________________</w:t>
      </w:r>
      <w:r w:rsidRPr="004B054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скликання</w:t>
      </w:r>
    </w:p>
    <w:p w:rsidR="00D67F97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4B0541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Р І Ш Е Н Н Я</w:t>
      </w:r>
    </w:p>
    <w:p w:rsidR="00D67F97" w:rsidRPr="004B0541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4B0541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«___»___________  2020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року                                                                        </w:t>
      </w:r>
      <w:r w:rsidRPr="004B054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________</w:t>
      </w:r>
    </w:p>
    <w:p w:rsidR="00D67F97" w:rsidRPr="004B0541" w:rsidRDefault="00D67F97" w:rsidP="004B0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м.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Благовіщенське</w:t>
      </w:r>
    </w:p>
    <w:p w:rsidR="00D67F97" w:rsidRPr="004B0541" w:rsidRDefault="00D67F97" w:rsidP="004B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ru-RU" w:eastAsia="ru-RU"/>
        </w:rPr>
        <w:t>Про</w:t>
      </w:r>
      <w:r w:rsidRPr="004B054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Pr="004B05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програми 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профілактики </w:t>
      </w:r>
    </w:p>
    <w:p w:rsidR="00D67F97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рецидивної злочинності та правопорушень </w:t>
      </w:r>
    </w:p>
    <w:p w:rsidR="00D67F97" w:rsidRPr="004B0541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Благовіщенському районі </w:t>
      </w:r>
      <w:r w:rsidRPr="004B0541">
        <w:rPr>
          <w:rFonts w:ascii="Times New Roman" w:hAnsi="Times New Roman" w:cs="Times New Roman"/>
          <w:sz w:val="24"/>
          <w:szCs w:val="24"/>
          <w:lang w:val="ru-RU" w:eastAsia="ru-RU"/>
        </w:rPr>
        <w:t>на 20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20</w:t>
      </w:r>
      <w:r w:rsidRPr="004B0541">
        <w:rPr>
          <w:rFonts w:ascii="Times New Roman" w:hAnsi="Times New Roman" w:cs="Times New Roman"/>
          <w:sz w:val="24"/>
          <w:szCs w:val="24"/>
          <w:lang w:val="ru-RU" w:eastAsia="ru-RU"/>
        </w:rPr>
        <w:t>-2023 роки</w:t>
      </w:r>
    </w:p>
    <w:p w:rsidR="00D67F97" w:rsidRPr="004B0541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D67F97" w:rsidRDefault="00D67F97" w:rsidP="004B05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Відповідно до ст.21  Закону України «Про пробацію» </w:t>
      </w:r>
      <w:r w:rsidRPr="004B0541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4B0541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 метою забезпечення  безпеки громадян 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міста від суспільно-небезпечних посягань,  керуючись ст.26 Закону України «Про місцеве с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амоврядування в Україні», районна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рада</w:t>
      </w:r>
    </w:p>
    <w:p w:rsidR="00D67F97" w:rsidRPr="004B0541" w:rsidRDefault="00D67F97" w:rsidP="004B05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4B0541" w:rsidRDefault="00D67F97" w:rsidP="004B0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 и р і ш и л а :</w:t>
      </w:r>
    </w:p>
    <w:p w:rsidR="00D67F97" w:rsidRPr="004B0541" w:rsidRDefault="00D67F97" w:rsidP="009C7490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Затвердити Програму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7490">
        <w:rPr>
          <w:rFonts w:ascii="Times New Roman" w:hAnsi="Times New Roman" w:cs="Times New Roman"/>
          <w:sz w:val="24"/>
          <w:szCs w:val="24"/>
          <w:lang w:val="uk-UA" w:eastAsia="ru-RU"/>
        </w:rPr>
        <w:t>профілактики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7490">
        <w:rPr>
          <w:rFonts w:ascii="Times New Roman" w:hAnsi="Times New Roman" w:cs="Times New Roman"/>
          <w:sz w:val="24"/>
          <w:szCs w:val="24"/>
          <w:lang w:val="uk-UA" w:eastAsia="ru-RU"/>
        </w:rPr>
        <w:t>рецидивної злочинності та правопорушень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 Благовіщенському районі</w:t>
      </w:r>
      <w:r w:rsidRPr="009C74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2020-2023 роки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D67F97" w:rsidRPr="004B0541" w:rsidRDefault="00D67F97" w:rsidP="004B0541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Організацію виконання даного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покласти на Благовіщенський 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районний сектор філії Державної установи «Центр пробації» 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в Кіровоградській області.</w:t>
      </w:r>
    </w:p>
    <w:p w:rsidR="00D67F97" w:rsidRPr="009C7490" w:rsidRDefault="00D67F97" w:rsidP="004B0541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_________________________</w:t>
      </w:r>
    </w:p>
    <w:p w:rsidR="00D67F97" w:rsidRPr="004B0541" w:rsidRDefault="00D67F97" w:rsidP="009C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</w:t>
      </w:r>
      <w:r w:rsidRPr="004B0541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D67F97" w:rsidRPr="004B0541" w:rsidRDefault="00D67F97" w:rsidP="004B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4B0541" w:rsidRDefault="00D67F97" w:rsidP="004B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4B0541" w:rsidRDefault="00D67F97" w:rsidP="009C7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Голова районної ради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Ігор Кримський</w:t>
      </w:r>
    </w:p>
    <w:p w:rsidR="00D67F97" w:rsidRPr="004B0541" w:rsidRDefault="00D67F97" w:rsidP="004B0541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</w:t>
      </w:r>
    </w:p>
    <w:p w:rsidR="00D67F97" w:rsidRPr="004B0541" w:rsidRDefault="00D67F97" w:rsidP="004B0541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Pr="004B0541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7F97" w:rsidRPr="00DA2E72" w:rsidRDefault="00D67F97" w:rsidP="00DA2E72">
      <w:pPr>
        <w:tabs>
          <w:tab w:val="left" w:pos="6804"/>
        </w:tabs>
        <w:spacing w:line="240" w:lineRule="auto"/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Pr="00DA2E7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A2E72"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>Додаток 1</w:t>
      </w:r>
    </w:p>
    <w:p w:rsidR="00D67F97" w:rsidRPr="009C7490" w:rsidRDefault="00D67F97" w:rsidP="00DA2E72">
      <w:pPr>
        <w:keepLines/>
        <w:suppressAutoHyphens/>
        <w:spacing w:after="0" w:line="240" w:lineRule="auto"/>
        <w:ind w:left="5103"/>
        <w:jc w:val="center"/>
        <w:rPr>
          <w:rFonts w:ascii="Times New Roman" w:hAnsi="Times New Roman" w:cs="Times New Roman"/>
          <w:kern w:val="1"/>
          <w:sz w:val="20"/>
          <w:szCs w:val="20"/>
          <w:lang w:val="ru-RU" w:eastAsia="zh-CN"/>
        </w:rPr>
      </w:pPr>
      <w:r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>П</w:t>
      </w:r>
      <w:r w:rsidRPr="00DA2E72"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>рограми профілактики рецидивної злочинності</w:t>
      </w:r>
      <w:r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 xml:space="preserve"> та правопорушень у Благовіщенському районі</w:t>
      </w:r>
      <w:r w:rsidRPr="00DA2E72"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 xml:space="preserve"> </w:t>
      </w:r>
    </w:p>
    <w:p w:rsidR="00D67F97" w:rsidRPr="00DA2E72" w:rsidRDefault="00D67F97" w:rsidP="00DA2E72">
      <w:pPr>
        <w:keepLines/>
        <w:suppressAutoHyphens/>
        <w:spacing w:after="0" w:line="240" w:lineRule="auto"/>
        <w:ind w:left="5103"/>
        <w:jc w:val="center"/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</w:pPr>
      <w:r w:rsidRPr="00DA2E72"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>на 2020-2023 роки</w:t>
      </w:r>
    </w:p>
    <w:p w:rsidR="00D67F97" w:rsidRPr="00DA2E72" w:rsidRDefault="00D67F97" w:rsidP="00DA2E72">
      <w:pPr>
        <w:keepLines/>
        <w:suppressAutoHyphens/>
        <w:spacing w:after="0" w:line="240" w:lineRule="auto"/>
        <w:ind w:left="5103"/>
        <w:jc w:val="center"/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</w:pPr>
      <w:r w:rsidRPr="00DA2E72">
        <w:rPr>
          <w:rFonts w:ascii="Times New Roman" w:hAnsi="Times New Roman" w:cs="Times New Roman"/>
          <w:kern w:val="1"/>
          <w:sz w:val="20"/>
          <w:szCs w:val="20"/>
          <w:lang w:val="uk-UA" w:eastAsia="zh-CN"/>
        </w:rPr>
        <w:t>від  ____.____.2020  р. № ______</w:t>
      </w:r>
    </w:p>
    <w:p w:rsidR="00D67F97" w:rsidRPr="00DA2E72" w:rsidRDefault="00D67F97" w:rsidP="00DA2E72">
      <w:pPr>
        <w:suppressAutoHyphens/>
        <w:spacing w:after="0" w:line="240" w:lineRule="auto"/>
        <w:ind w:left="5103"/>
        <w:rPr>
          <w:rFonts w:ascii="Times New Roman" w:hAnsi="Times New Roman" w:cs="Times New Roman"/>
          <w:kern w:val="1"/>
          <w:sz w:val="26"/>
          <w:szCs w:val="26"/>
          <w:lang w:val="uk-UA" w:eastAsia="zh-CN"/>
        </w:rPr>
      </w:pPr>
    </w:p>
    <w:p w:rsidR="00D67F97" w:rsidRPr="00DA2E72" w:rsidRDefault="00D67F97" w:rsidP="00DA2E7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DA2E72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ПРОГРАМА</w:t>
      </w:r>
    </w:p>
    <w:p w:rsidR="00D67F97" w:rsidRDefault="00D67F97" w:rsidP="00DA2E7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2E7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ПРОФІЛАКТИКИ РЕЦИДИВНОЇ ЗЛОЧИННОСТІ  ТА ПРАВОПОРУШЕНЬ</w:t>
      </w:r>
      <w:r w:rsidRPr="00DA2E72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 БЛАГОВІЩЕНСЬКОМУ РАЙОНІ</w:t>
      </w:r>
    </w:p>
    <w:p w:rsidR="00D67F97" w:rsidRPr="00DA2E72" w:rsidRDefault="00D67F97" w:rsidP="00DA2E7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DA2E7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2020-2023 РОК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И</w:t>
      </w:r>
    </w:p>
    <w:p w:rsidR="00D67F97" w:rsidRPr="00DA2E72" w:rsidRDefault="00D67F97" w:rsidP="00DA2E72">
      <w:pPr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A2E7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ПАСПОРТ ПРОГРАМИ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4062"/>
        <w:gridCol w:w="4964"/>
      </w:tblGrid>
      <w:tr w:rsidR="00D67F97" w:rsidRPr="00ED4E1E">
        <w:tc>
          <w:tcPr>
            <w:tcW w:w="287" w:type="pct"/>
          </w:tcPr>
          <w:p w:rsidR="00D67F97" w:rsidRPr="00DA2E72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2592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Благовіщенський районний сектор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філії Державної установи «Центр пробації»  в Кіровоградській області  </w:t>
            </w:r>
          </w:p>
        </w:tc>
      </w:tr>
      <w:tr w:rsidR="00D67F97" w:rsidRPr="00590B2F">
        <w:tc>
          <w:tcPr>
            <w:tcW w:w="287" w:type="pct"/>
          </w:tcPr>
          <w:p w:rsidR="00D67F97" w:rsidRPr="00DA2E72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2592" w:type="pct"/>
          </w:tcPr>
          <w:p w:rsidR="00D67F97" w:rsidRPr="00DA2E72" w:rsidRDefault="00D67F97" w:rsidP="00DA2E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67F97" w:rsidRPr="00DA2E72" w:rsidRDefault="00D67F97" w:rsidP="00DA2E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«___»________________ 20___ року </w:t>
            </w:r>
          </w:p>
        </w:tc>
      </w:tr>
      <w:tr w:rsidR="00D67F97" w:rsidRPr="00ED4E1E">
        <w:trPr>
          <w:trHeight w:val="813"/>
        </w:trPr>
        <w:tc>
          <w:tcPr>
            <w:tcW w:w="287" w:type="pct"/>
          </w:tcPr>
          <w:p w:rsidR="00D67F97" w:rsidRPr="00DA2E72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 </w:t>
            </w:r>
          </w:p>
        </w:tc>
        <w:tc>
          <w:tcPr>
            <w:tcW w:w="2592" w:type="pct"/>
          </w:tcPr>
          <w:p w:rsidR="00D67F97" w:rsidRPr="00DA2E72" w:rsidRDefault="00D67F97" w:rsidP="0080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Благовіщенський районний сектор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філії Державної установи «Центр пробації»  в Кіровоградській області  </w:t>
            </w:r>
          </w:p>
        </w:tc>
      </w:tr>
      <w:tr w:rsidR="00D67F97" w:rsidRPr="00ED4E1E">
        <w:trPr>
          <w:trHeight w:val="463"/>
        </w:trPr>
        <w:tc>
          <w:tcPr>
            <w:tcW w:w="287" w:type="pct"/>
          </w:tcPr>
          <w:p w:rsidR="00D67F97" w:rsidRPr="00D92005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Співрозробники програми</w:t>
            </w:r>
          </w:p>
        </w:tc>
        <w:tc>
          <w:tcPr>
            <w:tcW w:w="2592" w:type="pct"/>
          </w:tcPr>
          <w:p w:rsidR="00D67F97" w:rsidRDefault="00D67F97" w:rsidP="0080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Благовіщенське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Гайворонського ВП 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ГУНП в Кіровоградській області</w:t>
            </w:r>
          </w:p>
        </w:tc>
      </w:tr>
      <w:tr w:rsidR="00D67F97" w:rsidRPr="00ED4E1E">
        <w:trPr>
          <w:trHeight w:val="813"/>
        </w:trPr>
        <w:tc>
          <w:tcPr>
            <w:tcW w:w="287" w:type="pct"/>
          </w:tcPr>
          <w:p w:rsidR="00D67F97" w:rsidRPr="00DA2E72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2592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Благовіщенський районний сектор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філії Державної установи «Центр пробації»  в Кіровоградській області  </w:t>
            </w:r>
          </w:p>
        </w:tc>
      </w:tr>
      <w:tr w:rsidR="00D67F97" w:rsidRPr="00590B2F">
        <w:trPr>
          <w:trHeight w:val="567"/>
        </w:trPr>
        <w:tc>
          <w:tcPr>
            <w:tcW w:w="287" w:type="pct"/>
          </w:tcPr>
          <w:p w:rsidR="00D67F97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6,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Головний розпорядник коштів місцевого бюджету</w:t>
            </w:r>
          </w:p>
        </w:tc>
        <w:tc>
          <w:tcPr>
            <w:tcW w:w="2592" w:type="pct"/>
          </w:tcPr>
          <w:p w:rsidR="00D67F97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Благовіщенська РДА</w:t>
            </w:r>
          </w:p>
        </w:tc>
      </w:tr>
      <w:tr w:rsidR="00D67F97" w:rsidRPr="00ED4E1E">
        <w:tc>
          <w:tcPr>
            <w:tcW w:w="287" w:type="pct"/>
          </w:tcPr>
          <w:p w:rsidR="00D67F97" w:rsidRPr="00DA2E72" w:rsidRDefault="00D67F97" w:rsidP="00DA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1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2592" w:type="pct"/>
          </w:tcPr>
          <w:p w:rsidR="00D67F97" w:rsidRPr="00DA2E72" w:rsidRDefault="00D67F97" w:rsidP="00DA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Благовіщенський районний сектор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Філії Державної установи «Центр пробації» в Кіровоградській області,</w:t>
            </w:r>
            <w:r w:rsidRPr="00DA2E72">
              <w:rPr>
                <w:lang w:val="uk-UA"/>
              </w:rPr>
              <w:t xml:space="preserve"> 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філія Державної установи «Центр пробації» в Кіровоградській області,</w:t>
            </w:r>
            <w:r w:rsidRPr="00DA2E72">
              <w:rPr>
                <w:lang w:val="uk-UA"/>
              </w:rPr>
              <w:t xml:space="preserve"> 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органи Благовіщенської РДА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що приймають участь у виконанні зах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одів Програми, Благовіщенська 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районна філія Кіровоградського обласного центру зайнятост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 (за погодженням), Благовіщенське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Гайворонського ВП </w:t>
            </w:r>
            <w:r w:rsidRPr="00DA2E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ГУНП в Кіровоградській області (за погодженням)</w:t>
            </w:r>
          </w:p>
        </w:tc>
      </w:tr>
      <w:tr w:rsidR="00D67F97" w:rsidRPr="00590B2F">
        <w:trPr>
          <w:trHeight w:val="964"/>
        </w:trPr>
        <w:tc>
          <w:tcPr>
            <w:tcW w:w="287" w:type="pct"/>
            <w:vMerge w:val="restart"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8.</w:t>
            </w:r>
          </w:p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</w:rPr>
            </w:pPr>
            <w:r w:rsidRPr="00590B2F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2020-2023 роки.</w:t>
            </w:r>
          </w:p>
        </w:tc>
      </w:tr>
      <w:tr w:rsidR="00D67F97" w:rsidRPr="00ED4E1E">
        <w:trPr>
          <w:trHeight w:val="651"/>
        </w:trPr>
        <w:tc>
          <w:tcPr>
            <w:tcW w:w="287" w:type="pct"/>
            <w:vMerge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Благовіщенська РДА</w:t>
            </w:r>
          </w:p>
        </w:tc>
      </w:tr>
      <w:tr w:rsidR="00D67F97" w:rsidRPr="00590B2F">
        <w:tc>
          <w:tcPr>
            <w:tcW w:w="287" w:type="pct"/>
            <w:vMerge w:val="restart"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</w:rPr>
            </w:pPr>
            <w:r w:rsidRPr="00590B2F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усього,</w:t>
            </w:r>
          </w:p>
          <w:p w:rsidR="00D67F97" w:rsidRPr="00590B2F" w:rsidRDefault="00D67F97" w:rsidP="00E17B29">
            <w:pPr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 xml:space="preserve">у </w:t>
            </w:r>
            <w:r w:rsidRPr="00590B2F">
              <w:rPr>
                <w:color w:val="000000"/>
                <w:spacing w:val="-6"/>
                <w:sz w:val="24"/>
                <w:szCs w:val="24"/>
                <w:lang w:val="uk-UA"/>
              </w:rPr>
              <w:t>тому числі: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  <w:vMerge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  <w:vMerge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  <w:vMerge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  <w:vMerge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кошти не</w:t>
            </w:r>
            <w:r w:rsidRPr="00590B2F">
              <w:rPr>
                <w:color w:val="000000"/>
                <w:sz w:val="24"/>
                <w:szCs w:val="24"/>
              </w:rPr>
              <w:t xml:space="preserve"> </w:t>
            </w:r>
            <w:r w:rsidRPr="00590B2F">
              <w:rPr>
                <w:color w:val="000000"/>
                <w:sz w:val="24"/>
                <w:szCs w:val="24"/>
                <w:lang w:val="uk-UA"/>
              </w:rPr>
              <w:t>бюджетних джерел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67F97" w:rsidRPr="00590B2F">
        <w:tc>
          <w:tcPr>
            <w:tcW w:w="287" w:type="pct"/>
          </w:tcPr>
          <w:p w:rsidR="00D67F97" w:rsidRPr="00590B2F" w:rsidRDefault="00D67F97" w:rsidP="00E17B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2121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  <w:r w:rsidRPr="00590B2F">
              <w:rPr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2592" w:type="pct"/>
          </w:tcPr>
          <w:p w:rsidR="00D67F97" w:rsidRPr="00590B2F" w:rsidRDefault="00D67F97" w:rsidP="00E17B2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67F97" w:rsidRPr="000B10B1" w:rsidRDefault="00D67F97" w:rsidP="00DA2E7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DA2E7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7F97" w:rsidRDefault="00D67F97" w:rsidP="00DA2E7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7F97" w:rsidRPr="008D42E2" w:rsidRDefault="00D67F97" w:rsidP="00DA2E7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2.ВИЗНАЧЕННЯ ПРОБЛЕМИ, НА РОЗВ’ЯЗАННЯ ЯКОЇ СПРЯМОВАНА ПРОГРАМА</w:t>
      </w: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Злочинність у Благовіщенському районі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залишається одним з головних чинників, який суттєво впливає на проведення соціально-економічних перетворень, і станови</w:t>
      </w:r>
      <w:r>
        <w:rPr>
          <w:rFonts w:ascii="Times New Roman" w:hAnsi="Times New Roman" w:cs="Times New Roman"/>
          <w:sz w:val="24"/>
          <w:szCs w:val="24"/>
          <w:lang w:val="uk-UA"/>
        </w:rPr>
        <w:t>ть реальну загрозу безпеці району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і його жителів. </w:t>
      </w: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У цих умовах особливо важливим є забезпечення повноцінного функціонування органів, робота яких спрямована на зменшення злочинності, і для цього мають бути створенні всі необхідні умови. На жаль, дані органи мають недостатнє фінансування з центрального бюджету, через що відбувається постійне зростання злочинності, а ефективність профілактичних заходів лишається низькою. </w:t>
      </w: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Одним із таких органів 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Благовіщенський районний сектор філії Державної установи «Центр пробації» в Кіровоградській області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(надалі –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Благовіщенський РС пробації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), що був створений відповідно до Закону України «Про пробацію», основною метою якого є  забезпечення безпеки суспільства шляхом виправлення засуджених, запобігання вчиненню ними повторних кримінальних правопорушень. </w:t>
      </w:r>
    </w:p>
    <w:p w:rsidR="00D67F97" w:rsidRDefault="00D67F97" w:rsidP="005C4A20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Благовіщенського РС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виконують переважно кримінальні покарання, не пов’язані з позбавленням волі, адміністративні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стягнення у виді громадських,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виправних </w:t>
      </w:r>
      <w:r>
        <w:rPr>
          <w:rFonts w:ascii="Times New Roman" w:hAnsi="Times New Roman" w:cs="Times New Roman"/>
          <w:sz w:val="24"/>
          <w:szCs w:val="24"/>
          <w:lang w:val="uk-UA"/>
        </w:rPr>
        <w:t>та суспільно корисних робіт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, здійснюють нагляд за особами звільненими від відбування покарання з випробуванням, складають досудові доповіді (забезпечення суду формалізованою інформацією, що характеризує обвинуваченого, з метою прийняття судом справедливого рішення щодо міри покарання)</w:t>
      </w:r>
      <w:r>
        <w:rPr>
          <w:rFonts w:ascii="Times New Roman" w:hAnsi="Times New Roman" w:cs="Times New Roman"/>
          <w:sz w:val="24"/>
          <w:szCs w:val="24"/>
          <w:lang w:val="uk-UA"/>
        </w:rPr>
        <w:t>, проведення пробаційних програм з засудженими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67F97" w:rsidRPr="008D42E2" w:rsidRDefault="00D67F97" w:rsidP="005C4A20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пробаційних програм та інших соціально-виховних заходів, спрямованих на усунення криміногенних чинників в житті засуджених, які сприяють скоєнню ними нових правопорушень,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Благовіщенський РС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залучає додатково інші наявні ресурси громади – органи державної влади, а так само  волонтерів пробації, підприємства, установи та організації незалежно від форми власності. Окрім цього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Благовіщенський РС </w:t>
      </w:r>
      <w:r w:rsidRPr="008D42E2">
        <w:rPr>
          <w:rFonts w:ascii="Times New Roman" w:hAnsi="Times New Roman" w:cs="Times New Roman"/>
          <w:sz w:val="24"/>
          <w:szCs w:val="24"/>
          <w:lang w:val="uk-UA" w:eastAsia="ja-JP"/>
        </w:rPr>
        <w:t xml:space="preserve"> спрямовує і координує діяльність усіх органів, залучених до роботи із засудженими особами або звільненими від відбування покарання з випробуванням. </w:t>
      </w:r>
    </w:p>
    <w:p w:rsidR="00D67F97" w:rsidRPr="008D42E2" w:rsidRDefault="00D67F97" w:rsidP="005C4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Однак, ефективне 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Благовіщенським районним сектором пробації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вищезазначених функцій та покладених на нього завдань, у тому числі щодо здійснення контролю за особами, які перебувають на обліку пробації неможливе без належного матеріально-технічного забезпечення, яке на сьогоднішній день є відсутнім.</w:t>
      </w:r>
      <w:r w:rsidRPr="008D42E2">
        <w:rPr>
          <w:lang w:val="uk-UA"/>
        </w:rPr>
        <w:t xml:space="preserve"> </w:t>
      </w:r>
    </w:p>
    <w:p w:rsidR="00D67F97" w:rsidRPr="008D42E2" w:rsidRDefault="00D67F97" w:rsidP="005C4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Так, однією з функцій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Благовіщенського РС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є перевірка засуджених осіб за місцем проживанням, однак державним бюджетом не передбачено ані забезпечення персоналу пробації транспортними засобами для виконання цієї функції, ані відшкодування їм проїзду у громадському транспорті, 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ні забезпечення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Благовіщенського РС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засобами особистої безпеки. Враховуючи особливості цільової категорії, з якою працює персонал пробації, питання особистої безпеки працівників є критичним і потребує термінового вирішення.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рацівники пробації зіштовхуються з агресивною поведінкою з боку правопорушників при проведені індивідуальної роботи та перевірок за місцем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Це підтверджує специфіку та складність роботи, виконуваної персоналом пробації та актуальність гарантій безпеки та страхування життя і здоров'я. </w:t>
      </w: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важливим залишається питання створення належних умов на базі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Благовіщенського РС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для організації ефективної роботи із особами засудженими до альтернативних видів покарань. Наразі </w:t>
      </w:r>
      <w:r>
        <w:rPr>
          <w:rFonts w:ascii="Times New Roman" w:hAnsi="Times New Roman" w:cs="Times New Roman"/>
          <w:sz w:val="24"/>
          <w:szCs w:val="24"/>
          <w:lang w:val="uk-UA"/>
        </w:rPr>
        <w:t>приміщення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Благовіщенського РС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потребує косметичного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ремонту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службового кабінету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, окрі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цього є необхідність у заміні вікна, дверей,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забезпеченні меблями та оргтехнікою, канцелярією. </w:t>
      </w:r>
    </w:p>
    <w:p w:rsidR="00D67F97" w:rsidRPr="008D42E2" w:rsidRDefault="00D67F97" w:rsidP="005C4A2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Реалізація поставлених перед органами пробації завдань щодо протидій злочинності можлива лише за умови тісного</w:t>
      </w:r>
      <w:r w:rsidRPr="008D42E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ефективного співробітництва з іншими органами влади, органами місцевого самоврядування, у тому числі з депутатським корпусом міської ради в питаннях забезпечення належної профілактики правопорушень, правового та соціального захисту громадян України. </w:t>
      </w:r>
    </w:p>
    <w:p w:rsidR="00D67F97" w:rsidRPr="008D42E2" w:rsidRDefault="00D67F97" w:rsidP="005C4A2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hd w:val="clear" w:color="auto" w:fill="FFFFFF"/>
          <w:lang w:val="uk-UA"/>
        </w:rPr>
      </w:pPr>
      <w:r w:rsidRPr="008D42E2">
        <w:rPr>
          <w:shd w:val="clear" w:color="auto" w:fill="FFFFFF"/>
          <w:lang w:val="uk-UA"/>
        </w:rPr>
        <w:t>Відповідно до частини 1 статті 38 Закону Україн</w:t>
      </w:r>
      <w:r w:rsidRPr="008D42E2">
        <w:rPr>
          <w:color w:val="000000"/>
          <w:shd w:val="clear" w:color="auto" w:fill="FFFFFF"/>
          <w:lang w:val="uk-UA"/>
        </w:rPr>
        <w:t>и «Про місцеве самоврядування в Україні» до відання виконавчих органів міської</w:t>
      </w:r>
      <w:r w:rsidRPr="008D42E2">
        <w:rPr>
          <w:color w:val="000000"/>
          <w:lang w:val="uk-UA"/>
        </w:rPr>
        <w:t xml:space="preserve"> ради</w:t>
      </w:r>
      <w:r w:rsidRPr="008D42E2">
        <w:rPr>
          <w:color w:val="000000"/>
          <w:shd w:val="clear" w:color="auto" w:fill="FFFFFF"/>
          <w:lang w:val="uk-UA"/>
        </w:rPr>
        <w:t xml:space="preserve"> у сфері забезпечення законності, правопорядку, охорони прав, свобод і законних інтересів громадян</w:t>
      </w:r>
      <w:bookmarkStart w:id="0" w:name="n506"/>
      <w:bookmarkEnd w:id="0"/>
      <w:r w:rsidRPr="008D42E2">
        <w:rPr>
          <w:color w:val="000000"/>
          <w:shd w:val="clear" w:color="auto" w:fill="FFFFFF"/>
          <w:lang w:val="uk-UA"/>
        </w:rPr>
        <w:t xml:space="preserve"> </w:t>
      </w:r>
      <w:r w:rsidRPr="008D42E2">
        <w:rPr>
          <w:color w:val="000000"/>
          <w:lang w:val="uk-UA"/>
        </w:rPr>
        <w:t>належать</w:t>
      </w:r>
      <w:r w:rsidRPr="008D42E2">
        <w:rPr>
          <w:color w:val="000000"/>
          <w:shd w:val="clear" w:color="auto" w:fill="FFFFFF"/>
          <w:lang w:val="uk-UA"/>
        </w:rPr>
        <w:t xml:space="preserve"> сприяння діяльності органів Державної кримінально-виконавчої служби України.</w:t>
      </w:r>
    </w:p>
    <w:p w:rsidR="00D67F97" w:rsidRPr="008D42E2" w:rsidRDefault="00D67F97" w:rsidP="005C4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5C4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Саме тому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в основу даної Програми покладено принцип об’єднання зусиль виконавчих органів місцевого самоврядування, депутатського корпусу, правоохоронних органів та громадськості для забезпечення належного стану охорони громадського порядку та профілактики злочинності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районному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центрі. </w:t>
      </w:r>
    </w:p>
    <w:p w:rsidR="00D67F97" w:rsidRPr="008D42E2" w:rsidRDefault="00D67F97" w:rsidP="0027451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DF68AE">
      <w:pPr>
        <w:numPr>
          <w:ilvl w:val="0"/>
          <w:numId w:val="40"/>
        </w:num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ПРОГРАМИ</w:t>
      </w:r>
    </w:p>
    <w:p w:rsidR="00D67F97" w:rsidRPr="008D42E2" w:rsidRDefault="00D67F97" w:rsidP="004560DA">
      <w:pPr>
        <w:spacing w:after="0" w:line="144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top"/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Метою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цієї Програми є забезпечення підвищення загального рівня безпеки, зменшення кількості правопорушень,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безпеки населення Благовіщенського району в цілому 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шляхом розроблення  та здійснення комплексу заходів, спрямованих на усунення причин та умов учинення протиправних діянь, а також налагодження дієвої співпраці органів пробації та місцевих органів виконавчої влади в зазначеній сфері. </w:t>
      </w:r>
    </w:p>
    <w:p w:rsidR="00D67F97" w:rsidRPr="008D42E2" w:rsidRDefault="00D67F97" w:rsidP="00274518">
      <w:pPr>
        <w:spacing w:after="0" w:line="144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1"/>
    <w:p w:rsidR="00D67F97" w:rsidRPr="008D42E2" w:rsidRDefault="00D67F97" w:rsidP="00DF68AE">
      <w:pPr>
        <w:numPr>
          <w:ilvl w:val="0"/>
          <w:numId w:val="40"/>
        </w:numPr>
        <w:spacing w:after="0" w:line="144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ШЛЯХІВ І ЗАСОБІВ РОЗВ’ЯЗАННЯ ПРОБЛЕМИ, ОБСЯГІВ ТА ДЖЕРЕЛ ФІНАНСУВАННЯ, СТРОКИ ВИКОНАННЯ ЗАВДАНЬ, ЗАХОДІВ.</w:t>
      </w:r>
    </w:p>
    <w:p w:rsidR="00D67F97" w:rsidRDefault="00D67F97" w:rsidP="00274518">
      <w:pPr>
        <w:spacing w:after="0" w:line="144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274518">
      <w:pPr>
        <w:spacing w:after="0" w:line="144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Досягненню цієї мети сприятимуть 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, спрямовані на:</w:t>
      </w:r>
    </w:p>
    <w:p w:rsidR="00D67F97" w:rsidRPr="008D42E2" w:rsidRDefault="00D67F97" w:rsidP="00274518">
      <w:pPr>
        <w:spacing w:after="0" w:line="144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активізацію діяльності виконавчих органів місцевого самоврядування, пробації, та інших установ, що пов’язані з профілактикою правопорушень;</w:t>
      </w:r>
      <w:r w:rsidRPr="008D42E2"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  <w:t> 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підвищення координації спільних зусиль з профілактики правопорушень між органами місцевого самоврядування, пробації та інших установ, які працюють із засудженими, або звільненими від відбування покарання з випробуванням з метою уникнення дублювання функцій та поліпшення якості процедур, що виконуються при роботі із цією категорією осіб;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підвищення рівня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створення системи профілактики правопорушень, спрямованої на соціальну адаптацію осіб, звільнених з місць позбавлення волі;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запобігання втягненню у злочинну діяльність нових соціальних груп, особливо неповнолітніх</w:t>
      </w:r>
      <w:r>
        <w:rPr>
          <w:rFonts w:ascii="Times New Roman" w:hAnsi="Times New Roman" w:cs="Times New Roman"/>
          <w:sz w:val="24"/>
          <w:szCs w:val="24"/>
          <w:lang w:val="uk-UA"/>
        </w:rPr>
        <w:t>, пропагування здорового способу життя та залучення до занять спортом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висвітлення в засобах масової інформації діяльності органів місцевого самоврядування, пробації, та інших установ щодо профілактики правопорушень, з метою підвищення поінформованості громадян;</w:t>
      </w:r>
    </w:p>
    <w:p w:rsidR="00D67F97" w:rsidRPr="008D42E2" w:rsidRDefault="00D67F97" w:rsidP="004560DA">
      <w:pPr>
        <w:numPr>
          <w:ilvl w:val="0"/>
          <w:numId w:val="39"/>
        </w:numPr>
        <w:spacing w:after="0" w:line="144" w:lineRule="atLeast"/>
        <w:ind w:left="0" w:firstLine="360"/>
        <w:jc w:val="both"/>
        <w:rPr>
          <w:rFonts w:ascii="Verdana" w:hAnsi="Verdana" w:cs="Verdana"/>
          <w:color w:val="000000"/>
          <w:sz w:val="21"/>
          <w:szCs w:val="21"/>
          <w:shd w:val="clear" w:color="auto" w:fill="FFFFFF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творення належних умов на базі Благовіщенського районного відділу пробації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, що надасть змогу проводити ефективну роботу щодо реабілітації та ресоціалізації осіб, засуджених до покарань без позбавлення волі та сприятиме запобіганню скоєнню ними нових кримінальних правопорушень.</w:t>
      </w:r>
    </w:p>
    <w:p w:rsidR="00D67F97" w:rsidRPr="008D42E2" w:rsidRDefault="00D67F97" w:rsidP="00274518">
      <w:pPr>
        <w:spacing w:after="0" w:line="144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4560DA">
      <w:pPr>
        <w:spacing w:after="0" w:line="144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Внаслідок посилення профілактичного впливу на осіб, які перебувають на обліку в пробації очікується:</w:t>
      </w:r>
    </w:p>
    <w:p w:rsidR="00D67F97" w:rsidRPr="008D42E2" w:rsidRDefault="00D67F97" w:rsidP="004560DA">
      <w:pPr>
        <w:numPr>
          <w:ilvl w:val="0"/>
          <w:numId w:val="38"/>
        </w:numPr>
        <w:spacing w:after="1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зниження рівня злочинності та кількості повторних злочинів, ослаблення суспільної напруги, викликаної її впливом;</w:t>
      </w:r>
    </w:p>
    <w:p w:rsidR="00D67F97" w:rsidRPr="008D42E2" w:rsidRDefault="00D67F97" w:rsidP="004560DA">
      <w:pPr>
        <w:numPr>
          <w:ilvl w:val="0"/>
          <w:numId w:val="38"/>
        </w:numPr>
        <w:spacing w:after="1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мінімізація злочинного впливу на молодь та підлітків, усунення причин і умов, що сприяють втягненню їх у протиправну діяльність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>, пропагування здорового способу життя та зайняття спортом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7F97" w:rsidRPr="008D42E2" w:rsidRDefault="00D67F97" w:rsidP="004560DA">
      <w:pPr>
        <w:numPr>
          <w:ilvl w:val="0"/>
          <w:numId w:val="38"/>
        </w:numPr>
        <w:spacing w:after="1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сприяння ресоціалізації осіб, які звільнилися з місць позбавлення волі; </w:t>
      </w:r>
    </w:p>
    <w:p w:rsidR="00D67F97" w:rsidRPr="008D42E2" w:rsidRDefault="00D67F97" w:rsidP="004560DA">
      <w:pPr>
        <w:numPr>
          <w:ilvl w:val="0"/>
          <w:numId w:val="38"/>
        </w:numPr>
        <w:spacing w:after="1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досягнення належного рівня фінансового і матеріального забезпечення органу пробації та профілактичної діяльності.</w:t>
      </w:r>
    </w:p>
    <w:p w:rsidR="00D67F97" w:rsidRPr="008D42E2" w:rsidRDefault="00D67F97" w:rsidP="00BA7282">
      <w:pPr>
        <w:spacing w:after="16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4560DA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забезпечення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програми профілактики рецидивної   злочинності  та правопорушень в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Благовіщенському районі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на 2020-2023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</w:p>
    <w:p w:rsidR="00D67F97" w:rsidRPr="008D42E2" w:rsidRDefault="00D67F97" w:rsidP="004560DA">
      <w:pPr>
        <w:spacing w:after="0" w:line="240" w:lineRule="auto"/>
        <w:ind w:right="-757" w:firstLine="709"/>
        <w:rPr>
          <w:lang w:val="uk-UA" w:eastAsia="ru-RU"/>
        </w:rPr>
      </w:pPr>
    </w:p>
    <w:p w:rsidR="00D67F97" w:rsidRPr="008D42E2" w:rsidRDefault="00D67F97" w:rsidP="004560DA">
      <w:pPr>
        <w:spacing w:after="0" w:line="240" w:lineRule="auto"/>
        <w:ind w:right="-7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Фінансування заходів Програми передбачається здійсн</w:t>
      </w:r>
      <w:r>
        <w:rPr>
          <w:rFonts w:ascii="Times New Roman" w:hAnsi="Times New Roman" w:cs="Times New Roman"/>
          <w:sz w:val="24"/>
          <w:szCs w:val="24"/>
          <w:lang w:val="uk-UA"/>
        </w:rPr>
        <w:t>ювати за рахунок коштів районного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бюджету в межах можливостей його дохідної частини, виходячи з конкретних завдань, а також за рахунок інших джерел, не заборонених чинним законодавством. </w:t>
      </w:r>
    </w:p>
    <w:p w:rsidR="00D67F97" w:rsidRPr="008D42E2" w:rsidRDefault="00D67F97" w:rsidP="004560DA">
      <w:pPr>
        <w:spacing w:after="0" w:line="240" w:lineRule="auto"/>
        <w:ind w:right="-7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sz w:val="24"/>
          <w:szCs w:val="24"/>
          <w:lang w:val="uk-UA"/>
        </w:rPr>
        <w:t> Обсяги фінансування можуть бути змінені в установленому чинним законодавством порядку.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br/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>Виконавчі орга</w:t>
      </w:r>
      <w:r>
        <w:rPr>
          <w:rFonts w:ascii="Times New Roman" w:hAnsi="Times New Roman" w:cs="Times New Roman"/>
          <w:sz w:val="24"/>
          <w:szCs w:val="24"/>
          <w:lang w:val="uk-UA"/>
        </w:rPr>
        <w:t>ни місцевого самоврядування району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у межах чинного законодавства України сприяють </w:t>
      </w:r>
      <w:r>
        <w:rPr>
          <w:rFonts w:ascii="Times New Roman" w:hAnsi="Times New Roman" w:cs="Times New Roman"/>
          <w:sz w:val="24"/>
          <w:szCs w:val="24"/>
          <w:lang w:val="uk-UA"/>
        </w:rPr>
        <w:t>Благовіщенському РС</w:t>
      </w:r>
      <w:r w:rsidRPr="008D42E2">
        <w:rPr>
          <w:rFonts w:ascii="Times New Roman" w:hAnsi="Times New Roman" w:cs="Times New Roman"/>
          <w:sz w:val="24"/>
          <w:szCs w:val="24"/>
          <w:lang w:val="uk-UA"/>
        </w:rPr>
        <w:t xml:space="preserve"> пробації у вирішенні поточних проблем забезпечення службової діяльності.</w:t>
      </w:r>
      <w:r w:rsidRPr="008D42E2">
        <w:rPr>
          <w:rFonts w:ascii="Verdana" w:hAnsi="Verdana" w:cs="Verdana"/>
          <w:color w:val="20A142"/>
          <w:sz w:val="16"/>
          <w:szCs w:val="16"/>
          <w:shd w:val="clear" w:color="auto" w:fill="FFFFFF"/>
        </w:rPr>
        <w:t> </w:t>
      </w:r>
    </w:p>
    <w:p w:rsidR="00D67F97" w:rsidRPr="008D42E2" w:rsidRDefault="00D67F97" w:rsidP="004560DA">
      <w:pPr>
        <w:spacing w:after="0" w:line="240" w:lineRule="auto"/>
        <w:ind w:right="-7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2745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274518">
      <w:pPr>
        <w:spacing w:after="0" w:line="240" w:lineRule="auto"/>
        <w:jc w:val="center"/>
        <w:rPr>
          <w:rFonts w:ascii="Verdana" w:hAnsi="Verdana" w:cs="Verdana"/>
          <w:color w:val="20A142"/>
          <w:sz w:val="16"/>
          <w:szCs w:val="16"/>
          <w:shd w:val="clear" w:color="auto" w:fill="FFFFFF"/>
          <w:lang w:val="ru-RU"/>
        </w:rPr>
      </w:pPr>
    </w:p>
    <w:p w:rsidR="00D67F97" w:rsidRPr="008D42E2" w:rsidRDefault="00D67F97" w:rsidP="00E9340F">
      <w:pPr>
        <w:spacing w:after="160" w:line="259" w:lineRule="auto"/>
        <w:rPr>
          <w:lang w:val="uk-UA"/>
        </w:rPr>
      </w:pPr>
    </w:p>
    <w:p w:rsidR="00D67F97" w:rsidRPr="008D42E2" w:rsidRDefault="00D67F97" w:rsidP="00AC0E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D67F97" w:rsidRPr="008D42E2" w:rsidSect="009E43BE">
          <w:footerReference w:type="default" r:id="rId7"/>
          <w:type w:val="continuous"/>
          <w:pgSz w:w="12240" w:h="15840"/>
          <w:pgMar w:top="993" w:right="1440" w:bottom="1135" w:left="1440" w:header="720" w:footer="720" w:gutter="0"/>
          <w:pgNumType w:chapStyle="2" w:chapSep="period"/>
          <w:cols w:space="720"/>
          <w:titlePg/>
          <w:docGrid w:linePitch="299"/>
        </w:sectPr>
      </w:pPr>
    </w:p>
    <w:p w:rsidR="00D67F97" w:rsidRPr="008D42E2" w:rsidRDefault="00D67F97" w:rsidP="00E9340F">
      <w:pPr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ЗАВДАНЬ І ЗАХОДІВ ПРОГРАМИ.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НАПРЯМИ ВИКОРИСТАННЯ БЮДЖЕТНИХ КОШТІВ ТА РЕЗУЛЬТАТИВНІ ПОКАЗНИКИ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D67F97" w:rsidRPr="008D42E2" w:rsidRDefault="00D67F97" w:rsidP="00E934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7F97" w:rsidRPr="008D42E2" w:rsidRDefault="00D67F97" w:rsidP="005C4A2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Напрями діяльності, завдання  та заходи програми профілактики рецидивної злочинності  та правопорушень в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Благовіщенському районі  на 2020-2023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562"/>
        <w:gridCol w:w="2257"/>
        <w:gridCol w:w="1983"/>
        <w:gridCol w:w="1134"/>
        <w:gridCol w:w="1557"/>
        <w:gridCol w:w="1841"/>
        <w:gridCol w:w="651"/>
        <w:gridCol w:w="63"/>
        <w:gridCol w:w="538"/>
        <w:gridCol w:w="50"/>
        <w:gridCol w:w="120"/>
        <w:gridCol w:w="6"/>
        <w:gridCol w:w="575"/>
        <w:gridCol w:w="88"/>
        <w:gridCol w:w="40"/>
        <w:gridCol w:w="843"/>
        <w:gridCol w:w="2974"/>
      </w:tblGrid>
      <w:tr w:rsidR="00D67F97" w:rsidRPr="00590B2F">
        <w:trPr>
          <w:cantSplit/>
          <w:trHeight w:val="1698"/>
          <w:jc w:val="center"/>
        </w:trPr>
        <w:tc>
          <w:tcPr>
            <w:tcW w:w="562" w:type="dxa"/>
            <w:gridSpan w:val="2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eastAsia="Liberation Serif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9E43BE">
              <w:rPr>
                <w:rFonts w:ascii="Times New Roman" w:eastAsia="Liberation Serif" w:hAnsi="Times New Roman"/>
                <w:sz w:val="24"/>
                <w:szCs w:val="24"/>
                <w:lang w:val="uk-UA" w:eastAsia="ru-RU"/>
              </w:rPr>
              <w:tab/>
            </w:r>
            <w:r w:rsidRPr="009E43BE">
              <w:rPr>
                <w:rFonts w:ascii="Times New Roman" w:eastAsia="Liberation Serif" w:hAnsi="Times New Roman"/>
                <w:sz w:val="24"/>
                <w:szCs w:val="24"/>
                <w:lang w:val="uk-UA" w:eastAsia="ru-RU"/>
              </w:rPr>
              <w:tab/>
            </w:r>
            <w:r w:rsidRPr="009E43BE">
              <w:rPr>
                <w:rFonts w:ascii="Times New Roman" w:eastAsia="Liberation Serif" w:hAnsi="Times New Roman"/>
                <w:sz w:val="24"/>
                <w:szCs w:val="24"/>
                <w:lang w:val="uk-UA" w:eastAsia="ru-RU"/>
              </w:rPr>
              <w:tab/>
            </w:r>
          </w:p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2258" w:type="dxa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Напрям діяльності (пріоритетне завдання)</w:t>
            </w:r>
          </w:p>
        </w:tc>
        <w:tc>
          <w:tcPr>
            <w:tcW w:w="1984" w:type="dxa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Строк виконання</w:t>
            </w:r>
          </w:p>
        </w:tc>
        <w:tc>
          <w:tcPr>
            <w:tcW w:w="1558" w:type="dxa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Виконавці</w:t>
            </w:r>
          </w:p>
        </w:tc>
        <w:tc>
          <w:tcPr>
            <w:tcW w:w="1842" w:type="dxa"/>
            <w:vMerge w:val="restart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D67F97" w:rsidRPr="009E43BE" w:rsidRDefault="00D67F97" w:rsidP="009E43BE">
            <w:pPr>
              <w:keepNext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  <w:tc>
          <w:tcPr>
            <w:tcW w:w="2974" w:type="dxa"/>
            <w:gridSpan w:val="10"/>
            <w:vAlign w:val="center"/>
          </w:tcPr>
          <w:p w:rsidR="00D67F97" w:rsidRPr="009E43BE" w:rsidRDefault="00D67F97" w:rsidP="00A77122">
            <w:pPr>
              <w:spacing w:after="160" w:line="240" w:lineRule="auto"/>
              <w:ind w:left="-73" w:right="-1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Орієнтовні обсяги фінансування</w:t>
            </w: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(вартість), </w:t>
            </w: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тис. грн.</w:t>
            </w: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на </w:t>
            </w: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2020-2023 роки</w:t>
            </w:r>
          </w:p>
        </w:tc>
        <w:tc>
          <w:tcPr>
            <w:tcW w:w="2975" w:type="dxa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Очікуваний результат</w:t>
            </w:r>
          </w:p>
        </w:tc>
      </w:tr>
      <w:tr w:rsidR="00D67F97" w:rsidRPr="00590B2F">
        <w:trPr>
          <w:cantSplit/>
          <w:trHeight w:val="262"/>
          <w:jc w:val="center"/>
        </w:trPr>
        <w:tc>
          <w:tcPr>
            <w:tcW w:w="562" w:type="dxa"/>
            <w:gridSpan w:val="2"/>
            <w:vMerge/>
          </w:tcPr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84" w:type="dxa"/>
            <w:vMerge/>
            <w:textDirection w:val="btLr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textDirection w:val="btLr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left="113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58" w:type="dxa"/>
            <w:vMerge/>
            <w:textDirection w:val="btLr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left="113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42" w:type="dxa"/>
            <w:vMerge/>
            <w:textDirection w:val="btLr"/>
          </w:tcPr>
          <w:p w:rsidR="00D67F97" w:rsidRPr="009E43BE" w:rsidRDefault="00D67F97" w:rsidP="009E43BE">
            <w:pPr>
              <w:keepNext/>
              <w:spacing w:before="240" w:after="60" w:line="240" w:lineRule="auto"/>
              <w:ind w:left="113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708" w:type="dxa"/>
            <w:gridSpan w:val="3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2021</w:t>
            </w:r>
          </w:p>
        </w:tc>
        <w:tc>
          <w:tcPr>
            <w:tcW w:w="709" w:type="dxa"/>
            <w:gridSpan w:val="4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</w:t>
            </w:r>
          </w:p>
        </w:tc>
        <w:tc>
          <w:tcPr>
            <w:tcW w:w="2975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ED4E1E">
        <w:trPr>
          <w:cantSplit/>
          <w:jc w:val="center"/>
        </w:trPr>
        <w:tc>
          <w:tcPr>
            <w:tcW w:w="562" w:type="dxa"/>
            <w:gridSpan w:val="2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258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Організаційно - правове  забезпечення  профілактики  злочинності</w:t>
            </w: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Широке та постійне інформування населення про заходи щ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одо діяльності Благовіщенського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пробації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постійно 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D67F97" w:rsidRPr="009E43BE" w:rsidRDefault="00D67F97" w:rsidP="009E43BE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ЗМІ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 рівня поінформованості населення, правильного розуміння та сприйняття функцій пробації, зменшення рівня стереотипного відношення до суб’єктів пробації, а так само до  осіб, які звільнились з місць позбавлення волі.  Збільшення рівня довіри населення до системи пробації, яка спроможна забезпечити безпеку суспільства.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cantSplit/>
          <w:jc w:val="center"/>
        </w:trPr>
        <w:tc>
          <w:tcPr>
            <w:tcW w:w="562" w:type="dxa"/>
            <w:gridSpan w:val="2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Виготовлення друкованої продукції соціальної спрямованості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gridSpan w:val="4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3" w:type="dxa"/>
            <w:gridSpan w:val="3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cantSplit/>
          <w:jc w:val="center"/>
        </w:trPr>
        <w:tc>
          <w:tcPr>
            <w:tcW w:w="562" w:type="dxa"/>
            <w:gridSpan w:val="2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Здійснення заходів щодо забезпечення підвищення рівня правової освіти населення, громадської правосвідомості, формування негативного ставлення до протиправних діянь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відділ освіти 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ED4E1E">
        <w:trPr>
          <w:cantSplit/>
          <w:jc w:val="center"/>
        </w:trPr>
        <w:tc>
          <w:tcPr>
            <w:tcW w:w="562" w:type="dxa"/>
            <w:gridSpan w:val="2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258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Мінімізація злочинного впливу на неповнолітніх та  молодіжне середовище</w:t>
            </w: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профілактичних і просвітницьких заходів із засудженими до покарань не пов’язаних з позбавленням волі, у т.ч. неповнолітніх, які перебувають на обліку пробації,  та їх батьків з питань протидії зловживанню психоактивних речовин, пропаганди здорового способу життя та формування законослухняної поведінки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,відділ молоді, спорту та охорони здоров’я, відділ освіти,   </w:t>
            </w:r>
            <w:r w:rsidRPr="009E43BE">
              <w:rPr>
                <w:sz w:val="18"/>
                <w:szCs w:val="18"/>
                <w:lang w:val="uk-UA"/>
              </w:rPr>
              <w:t xml:space="preserve">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соціального захисту населення, громадські та релігійні організації, благодійні фонди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Мінімізація злочинного впливу на молодь та підлітків, усунення причин і умов, що сприяють втягненню їх у протиправну діяльність</w:t>
            </w: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Своєчасне виявлення сімей, які  перебувають  у  складних життєвих обставинах їх облік, систематична перевірка умов утримання та виховання в них неповнолітніх, надання таким сім’ям адресної допомоги, проведення обстеження житлово-побутових умов учнів загальноосвітніх шкіл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Благовіщенщини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постійно 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Управління соціального захисту населення, служ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 у справах дітей, Благовіщенське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ВП ГУНП, відділ освіти, міський центр соціальних служб для сім’ї, дітей та молоді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Забезпечення харчуванням неповнолітніх, які перебувають на обліку пробації під час проведення соціально-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виховної роботи Благовіщенським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пробації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РС.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Додаткові кошти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gridSpan w:val="4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3" w:type="dxa"/>
            <w:gridSpan w:val="3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ED4E1E">
        <w:trPr>
          <w:gridBefore w:val="1"/>
          <w:cantSplit/>
          <w:jc w:val="center"/>
        </w:trPr>
        <w:tc>
          <w:tcPr>
            <w:tcW w:w="562" w:type="dxa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258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Протидія рецидивній злочинності</w:t>
            </w: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Організація і проведення заходів, спрямованих на попередження вчинення нових кримінальних правопорушень  особами, засудженими за вчинення злочинів.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9E43BE">
              <w:rPr>
                <w:sz w:val="18"/>
                <w:szCs w:val="18"/>
                <w:lang w:val="uk-UA"/>
              </w:rPr>
              <w:t xml:space="preserve">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соціального захисту населення, громадські та релігійні організації, благодійні фонди  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Поліпшення профілактичної роботи серед осіб, які перебувають на обліку в органах пробації та поліції</w:t>
            </w: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роз’яснювальної роботи щодо недопущення скоєння нових злочинів та правопорушень серед осіб, які перебувають на обліку пробації та осіб, які звільнились з місць позбавлення волі, у т.ч. перевірка даної категорії осіб за місцем їх проживання.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1A2D5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пробації, </w:t>
            </w:r>
            <w:r w:rsidRPr="009E43BE">
              <w:rPr>
                <w:sz w:val="18"/>
                <w:szCs w:val="18"/>
                <w:lang w:val="uk-UA"/>
              </w:rPr>
              <w:t xml:space="preserve">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соціальног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 захисту населення, Благовіщенське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ВП ГУНП 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Не потребує додаткового фінансування 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взаємодії установ виконання покарань із місцевими органами виконавчої влади щодо побутового влаштування осіб, звільнених з місць позбавлення волі 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ind w:left="-7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Благовіщенський РС, Благовіщенська 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районна філія Кіровоградського обласного центру зайнятості,  центр соціальних служб для сім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'ї, дітей та молоді.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Не потребує додаткового фінансування 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лікування суб’єктів пробації, які перебув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ають на обліку Благовіщенського РС</w:t>
            </w: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від алкогольної та наркотичної залежності, у т.ч. перебування на замісній терапії 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1A2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відділ  молоді, спорту та охорони здоров’я, центр соціальних служб для сім'ї, дітей та молоді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</w:tc>
        <w:tc>
          <w:tcPr>
            <w:tcW w:w="714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gridSpan w:val="4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3" w:type="dxa"/>
            <w:gridSpan w:val="3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3" w:type="dxa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54F7A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ED4E1E">
        <w:trPr>
          <w:gridBefore w:val="1"/>
          <w:cantSplit/>
          <w:jc w:val="center"/>
        </w:trPr>
        <w:tc>
          <w:tcPr>
            <w:tcW w:w="562" w:type="dxa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258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Матеріально-технічне забезпечення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 з питань пробації</w:t>
            </w: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комп’ютерної техніки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</w:tc>
        <w:tc>
          <w:tcPr>
            <w:tcW w:w="651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8000</w:t>
            </w:r>
          </w:p>
        </w:tc>
        <w:tc>
          <w:tcPr>
            <w:tcW w:w="751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 w:val="restart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Створення належни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 умов на базі Благовіщенського РС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пробації, що надасть змогу проводити</w:t>
            </w:r>
            <w:r w:rsidRPr="009E43BE">
              <w:rPr>
                <w:lang w:val="uk-UA"/>
              </w:rPr>
              <w:t xml:space="preserve"> 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ефективну роботу щодо реабілітації та ресоціалізації осіб, засуджених до покарань без позбавлення волі та сприятиме запобіганню скоєнню ними повторних правопорушень</w:t>
            </w: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офісних меблів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</w:tc>
        <w:tc>
          <w:tcPr>
            <w:tcW w:w="651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6000</w:t>
            </w:r>
          </w:p>
        </w:tc>
        <w:tc>
          <w:tcPr>
            <w:tcW w:w="601" w:type="dxa"/>
            <w:gridSpan w:val="2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51" w:type="dxa"/>
            <w:gridSpan w:val="4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косметичного ремонту  в службових кабінетах  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заміни вікон Благовіщенського РС</w:t>
            </w: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пробації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пробації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</w:tc>
        <w:tc>
          <w:tcPr>
            <w:tcW w:w="651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</w:t>
            </w: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1A2D5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gridSpan w:val="2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</w:t>
            </w: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51" w:type="dxa"/>
            <w:gridSpan w:val="4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jc w:val="center"/>
        </w:trPr>
        <w:tc>
          <w:tcPr>
            <w:tcW w:w="562" w:type="dxa"/>
            <w:vMerge w:val="restart"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додаткових джерел фінансування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Благовіщенський РС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 додаткового фінансування</w:t>
            </w:r>
          </w:p>
        </w:tc>
        <w:tc>
          <w:tcPr>
            <w:tcW w:w="2974" w:type="dxa"/>
            <w:gridSpan w:val="10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7F97" w:rsidRPr="00590B2F">
        <w:trPr>
          <w:gridBefore w:val="1"/>
          <w:cantSplit/>
          <w:trHeight w:val="830"/>
          <w:jc w:val="center"/>
        </w:trPr>
        <w:tc>
          <w:tcPr>
            <w:tcW w:w="562" w:type="dxa"/>
            <w:vMerge/>
            <w:vAlign w:val="center"/>
          </w:tcPr>
          <w:p w:rsidR="00D67F97" w:rsidRPr="009E43BE" w:rsidRDefault="00D67F97" w:rsidP="009E43B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3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кварцевих ламп</w:t>
            </w:r>
          </w:p>
        </w:tc>
        <w:tc>
          <w:tcPr>
            <w:tcW w:w="1134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Благовіщенська РДА</w:t>
            </w:r>
          </w:p>
        </w:tc>
        <w:tc>
          <w:tcPr>
            <w:tcW w:w="1842" w:type="dxa"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Районний</w:t>
            </w:r>
            <w:r w:rsidRPr="009E43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бюджет </w:t>
            </w:r>
          </w:p>
        </w:tc>
        <w:tc>
          <w:tcPr>
            <w:tcW w:w="651" w:type="dxa"/>
          </w:tcPr>
          <w:p w:rsidR="00D67F97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</w:tc>
        <w:tc>
          <w:tcPr>
            <w:tcW w:w="651" w:type="dxa"/>
            <w:gridSpan w:val="3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89" w:type="dxa"/>
            <w:gridSpan w:val="4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83" w:type="dxa"/>
            <w:gridSpan w:val="2"/>
          </w:tcPr>
          <w:p w:rsidR="00D67F97" w:rsidRDefault="00D67F9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67F97" w:rsidRPr="009E43BE" w:rsidRDefault="00D67F97" w:rsidP="0080468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5" w:type="dxa"/>
            <w:vMerge/>
          </w:tcPr>
          <w:p w:rsidR="00D67F97" w:rsidRPr="009E43BE" w:rsidRDefault="00D67F97" w:rsidP="009E43BE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Default="00D67F97" w:rsidP="00CA2148">
      <w:pPr>
        <w:autoSpaceDE w:val="0"/>
        <w:autoSpaceDN w:val="0"/>
        <w:adjustRightInd w:val="0"/>
        <w:spacing w:after="0"/>
        <w:ind w:left="11328"/>
        <w:rPr>
          <w:sz w:val="24"/>
          <w:szCs w:val="24"/>
          <w:lang w:val="uk-UA" w:eastAsia="uk-UA"/>
        </w:rPr>
      </w:pPr>
    </w:p>
    <w:p w:rsidR="00D67F97" w:rsidRPr="00887F09" w:rsidRDefault="00D67F97" w:rsidP="00CA2148">
      <w:pPr>
        <w:autoSpaceDE w:val="0"/>
        <w:autoSpaceDN w:val="0"/>
        <w:adjustRightInd w:val="0"/>
        <w:spacing w:after="0"/>
        <w:ind w:left="11328"/>
        <w:rPr>
          <w:sz w:val="20"/>
          <w:szCs w:val="20"/>
          <w:lang w:val="uk-UA" w:eastAsia="uk-UA"/>
        </w:rPr>
      </w:pPr>
      <w:r w:rsidRPr="00887F09">
        <w:rPr>
          <w:sz w:val="20"/>
          <w:szCs w:val="20"/>
          <w:lang w:val="uk-UA" w:eastAsia="uk-UA"/>
        </w:rPr>
        <w:t>Додаток 2</w:t>
      </w:r>
    </w:p>
    <w:p w:rsidR="00D67F97" w:rsidRPr="00887F09" w:rsidRDefault="00D67F97" w:rsidP="00CA2148">
      <w:pPr>
        <w:autoSpaceDE w:val="0"/>
        <w:autoSpaceDN w:val="0"/>
        <w:adjustRightInd w:val="0"/>
        <w:spacing w:after="0"/>
        <w:ind w:left="11328"/>
        <w:rPr>
          <w:sz w:val="20"/>
          <w:szCs w:val="20"/>
          <w:lang w:val="uk-UA" w:eastAsia="uk-UA"/>
        </w:rPr>
      </w:pPr>
      <w:r w:rsidRPr="00887F09">
        <w:rPr>
          <w:sz w:val="20"/>
          <w:szCs w:val="20"/>
          <w:lang w:val="uk-UA" w:eastAsia="uk-UA"/>
        </w:rPr>
        <w:t xml:space="preserve">до Порядку </w:t>
      </w:r>
    </w:p>
    <w:p w:rsidR="00D67F97" w:rsidRPr="00887F09" w:rsidRDefault="00D67F97" w:rsidP="00CA2148">
      <w:pPr>
        <w:autoSpaceDE w:val="0"/>
        <w:autoSpaceDN w:val="0"/>
        <w:adjustRightInd w:val="0"/>
        <w:spacing w:after="0"/>
        <w:ind w:left="11328"/>
        <w:rPr>
          <w:sz w:val="20"/>
          <w:szCs w:val="20"/>
          <w:lang w:val="uk-UA" w:eastAsia="uk-UA"/>
        </w:rPr>
      </w:pPr>
      <w:r w:rsidRPr="00887F09">
        <w:rPr>
          <w:sz w:val="20"/>
          <w:szCs w:val="20"/>
          <w:lang w:val="uk-UA" w:eastAsia="uk-UA"/>
        </w:rPr>
        <w:t>(підпункт 6 пункту 3)</w:t>
      </w:r>
    </w:p>
    <w:p w:rsidR="00D67F97" w:rsidRPr="00CA2148" w:rsidRDefault="00D67F97" w:rsidP="00CA2148">
      <w:pPr>
        <w:autoSpaceDE w:val="0"/>
        <w:autoSpaceDN w:val="0"/>
        <w:adjustRightInd w:val="0"/>
        <w:spacing w:after="0" w:line="192" w:lineRule="auto"/>
        <w:jc w:val="center"/>
        <w:rPr>
          <w:sz w:val="24"/>
          <w:szCs w:val="24"/>
          <w:lang w:val="uk-UA" w:eastAsia="uk-UA"/>
        </w:rPr>
      </w:pPr>
    </w:p>
    <w:p w:rsidR="00D67F97" w:rsidRPr="00CA2148" w:rsidRDefault="00D67F97" w:rsidP="00CA2148">
      <w:pPr>
        <w:autoSpaceDE w:val="0"/>
        <w:autoSpaceDN w:val="0"/>
        <w:adjustRightInd w:val="0"/>
        <w:spacing w:after="0" w:line="192" w:lineRule="auto"/>
        <w:jc w:val="center"/>
        <w:rPr>
          <w:sz w:val="24"/>
          <w:szCs w:val="24"/>
          <w:lang w:val="uk-UA" w:eastAsia="uk-UA"/>
        </w:rPr>
      </w:pPr>
    </w:p>
    <w:p w:rsidR="00D67F97" w:rsidRPr="00887F09" w:rsidRDefault="00D67F97" w:rsidP="00887F0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CA2148">
        <w:rPr>
          <w:b/>
          <w:bCs/>
          <w:color w:val="000000"/>
          <w:sz w:val="24"/>
          <w:szCs w:val="24"/>
          <w:lang w:val="uk-UA" w:eastAsia="uk-UA"/>
        </w:rPr>
        <w:t>Ресурсне забезпечення</w:t>
      </w:r>
      <w:r w:rsidRPr="00CA2148">
        <w:rPr>
          <w:b/>
          <w:bCs/>
          <w:color w:val="FF0000"/>
          <w:sz w:val="24"/>
          <w:szCs w:val="24"/>
          <w:lang w:val="uk-UA" w:eastAsia="uk-UA"/>
        </w:rPr>
        <w:t xml:space="preserve"> 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програми профілактики рецидивної злочинності  та правопорушень в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Благовіщенському районі  на 2020-2023</w:t>
      </w:r>
      <w:r w:rsidRPr="008D42E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</w:p>
    <w:tbl>
      <w:tblPr>
        <w:tblW w:w="138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9"/>
        <w:gridCol w:w="1203"/>
        <w:gridCol w:w="1275"/>
        <w:gridCol w:w="1134"/>
        <w:gridCol w:w="1560"/>
        <w:gridCol w:w="3252"/>
      </w:tblGrid>
      <w:tr w:rsidR="00D67F97" w:rsidRPr="00590B2F">
        <w:trPr>
          <w:cantSplit/>
          <w:trHeight w:val="375"/>
        </w:trPr>
        <w:tc>
          <w:tcPr>
            <w:tcW w:w="5460" w:type="dxa"/>
            <w:vMerge w:val="restart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71" w:type="dxa"/>
            <w:gridSpan w:val="4"/>
            <w:vAlign w:val="center"/>
          </w:tcPr>
          <w:p w:rsidR="00D67F97" w:rsidRPr="00590B2F" w:rsidRDefault="00D67F97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2" w:type="dxa"/>
            <w:vAlign w:val="center"/>
          </w:tcPr>
          <w:p w:rsidR="00D67F97" w:rsidRPr="00590B2F" w:rsidRDefault="00D67F97" w:rsidP="00CA214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Усього витрат на виконання програми.</w:t>
            </w:r>
          </w:p>
          <w:p w:rsidR="00D67F97" w:rsidRPr="00590B2F" w:rsidRDefault="00D67F97" w:rsidP="00CA214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тис. грн.</w:t>
            </w:r>
          </w:p>
        </w:tc>
      </w:tr>
      <w:tr w:rsidR="00D67F97" w:rsidRPr="00590B2F">
        <w:trPr>
          <w:cantSplit/>
          <w:trHeight w:val="330"/>
        </w:trPr>
        <w:tc>
          <w:tcPr>
            <w:tcW w:w="5460" w:type="dxa"/>
            <w:vMerge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612" w:type="dxa"/>
            <w:gridSpan w:val="3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560" w:type="dxa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ІІ</w:t>
            </w:r>
          </w:p>
        </w:tc>
        <w:tc>
          <w:tcPr>
            <w:tcW w:w="3251" w:type="dxa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  <w:vMerge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03" w:type="dxa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2020 рік</w:t>
            </w:r>
          </w:p>
        </w:tc>
        <w:tc>
          <w:tcPr>
            <w:tcW w:w="1275" w:type="dxa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2021рік</w:t>
            </w:r>
          </w:p>
        </w:tc>
        <w:tc>
          <w:tcPr>
            <w:tcW w:w="1134" w:type="dxa"/>
            <w:vAlign w:val="center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2022 рік</w:t>
            </w: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2023 рік.</w:t>
            </w: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Усього,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у тому числі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районний бюджет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24000</w:t>
            </w: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28000</w:t>
            </w: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13000</w:t>
            </w: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13000</w:t>
            </w: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78000</w:t>
            </w: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бюджети міст, сіл**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D67F97" w:rsidRPr="00590B2F">
        <w:tc>
          <w:tcPr>
            <w:tcW w:w="54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 w:eastAsia="uk-UA"/>
              </w:rPr>
            </w:pPr>
            <w:r w:rsidRPr="00590B2F">
              <w:rPr>
                <w:sz w:val="24"/>
                <w:szCs w:val="24"/>
                <w:lang w:val="uk-UA" w:eastAsia="uk-UA"/>
              </w:rPr>
              <w:t>кошти небюджетних джерел**</w:t>
            </w:r>
          </w:p>
        </w:tc>
        <w:tc>
          <w:tcPr>
            <w:tcW w:w="1203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51" w:type="dxa"/>
          </w:tcPr>
          <w:p w:rsidR="00D67F97" w:rsidRPr="00590B2F" w:rsidRDefault="00D67F97" w:rsidP="00CA214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D67F97" w:rsidRPr="00CA2148" w:rsidRDefault="00D67F97" w:rsidP="00CA2148">
      <w:pPr>
        <w:autoSpaceDE w:val="0"/>
        <w:autoSpaceDN w:val="0"/>
        <w:adjustRightInd w:val="0"/>
        <w:spacing w:after="0"/>
        <w:ind w:left="1300" w:hanging="130"/>
        <w:rPr>
          <w:sz w:val="24"/>
          <w:szCs w:val="24"/>
          <w:lang w:val="uk-UA" w:eastAsia="uk-UA"/>
        </w:rPr>
      </w:pPr>
      <w:r w:rsidRPr="00CA2148">
        <w:rPr>
          <w:sz w:val="24"/>
          <w:szCs w:val="24"/>
          <w:lang w:val="uk-UA" w:eastAsia="uk-UA"/>
        </w:rPr>
        <w:t xml:space="preserve">*у випадку якщо програма виконується в один етап графи 5,6 не заповнюються.. </w:t>
      </w:r>
    </w:p>
    <w:p w:rsidR="00D67F97" w:rsidRPr="00CA2148" w:rsidRDefault="00D67F97" w:rsidP="00CA2148">
      <w:pPr>
        <w:autoSpaceDE w:val="0"/>
        <w:autoSpaceDN w:val="0"/>
        <w:adjustRightInd w:val="0"/>
        <w:spacing w:after="0"/>
        <w:ind w:firstLine="1170"/>
        <w:rPr>
          <w:sz w:val="24"/>
          <w:szCs w:val="24"/>
          <w:lang w:val="uk-UA" w:eastAsia="uk-UA"/>
        </w:rPr>
      </w:pPr>
      <w:r w:rsidRPr="00CA2148">
        <w:rPr>
          <w:sz w:val="24"/>
          <w:szCs w:val="24"/>
          <w:lang w:val="uk-UA" w:eastAsia="uk-UA"/>
        </w:rPr>
        <w:t>**кожний бюджет та кожне джерело вказується окремо</w:t>
      </w:r>
    </w:p>
    <w:p w:rsidR="00D67F97" w:rsidRPr="00CA2148" w:rsidRDefault="00D67F97" w:rsidP="00CA2148">
      <w:pPr>
        <w:autoSpaceDE w:val="0"/>
        <w:autoSpaceDN w:val="0"/>
        <w:adjustRightInd w:val="0"/>
        <w:spacing w:after="0"/>
        <w:rPr>
          <w:sz w:val="24"/>
          <w:szCs w:val="24"/>
          <w:lang w:val="uk-UA" w:eastAsia="uk-UA"/>
        </w:rPr>
      </w:pPr>
    </w:p>
    <w:p w:rsidR="00D67F97" w:rsidRPr="00CA2148" w:rsidRDefault="00D67F97" w:rsidP="00CA2148">
      <w:pPr>
        <w:spacing w:after="0"/>
        <w:ind w:left="1418"/>
        <w:rPr>
          <w:sz w:val="24"/>
          <w:szCs w:val="24"/>
          <w:lang w:val="uk-UA"/>
        </w:rPr>
      </w:pPr>
      <w:r w:rsidRPr="00CA2148">
        <w:rPr>
          <w:sz w:val="24"/>
          <w:szCs w:val="24"/>
          <w:lang w:val="uk-UA"/>
        </w:rPr>
        <w:t xml:space="preserve">Керівник установи - </w:t>
      </w:r>
      <w:r w:rsidRPr="00CA2148">
        <w:rPr>
          <w:sz w:val="24"/>
          <w:szCs w:val="24"/>
          <w:lang w:val="uk-UA"/>
        </w:rPr>
        <w:br/>
        <w:t>головного розпорядника коштів</w:t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>_____________________</w:t>
      </w:r>
      <w:r w:rsidRPr="00CA2148">
        <w:rPr>
          <w:sz w:val="24"/>
          <w:szCs w:val="24"/>
          <w:lang w:val="uk-UA"/>
        </w:rPr>
        <w:tab/>
        <w:t>__________________</w:t>
      </w:r>
    </w:p>
    <w:p w:rsidR="00D67F97" w:rsidRPr="00CA2148" w:rsidRDefault="00D67F97" w:rsidP="00CA2148">
      <w:pPr>
        <w:spacing w:after="0"/>
        <w:rPr>
          <w:sz w:val="24"/>
          <w:szCs w:val="24"/>
          <w:lang w:val="uk-UA"/>
        </w:rPr>
      </w:pP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 xml:space="preserve">(П. І. Б.) </w:t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 xml:space="preserve">                         (підпис) </w:t>
      </w:r>
    </w:p>
    <w:p w:rsidR="00D67F97" w:rsidRPr="00CA2148" w:rsidRDefault="00D67F97" w:rsidP="00CA2148">
      <w:pPr>
        <w:spacing w:after="0"/>
        <w:ind w:left="1418"/>
        <w:rPr>
          <w:sz w:val="24"/>
          <w:szCs w:val="24"/>
          <w:lang w:val="uk-UA"/>
        </w:rPr>
      </w:pPr>
      <w:r w:rsidRPr="00CA2148">
        <w:rPr>
          <w:sz w:val="24"/>
          <w:szCs w:val="24"/>
          <w:lang w:val="uk-UA"/>
        </w:rPr>
        <w:t xml:space="preserve">Відповідальний  </w:t>
      </w:r>
      <w:r w:rsidRPr="00CA2148">
        <w:rPr>
          <w:sz w:val="24"/>
          <w:szCs w:val="24"/>
          <w:lang w:val="uk-UA"/>
        </w:rPr>
        <w:br/>
        <w:t>виконавець Програми</w:t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>_____________________</w:t>
      </w:r>
      <w:r w:rsidRPr="00CA2148">
        <w:rPr>
          <w:sz w:val="24"/>
          <w:szCs w:val="24"/>
          <w:lang w:val="uk-UA"/>
        </w:rPr>
        <w:tab/>
        <w:t>__________________</w:t>
      </w:r>
    </w:p>
    <w:p w:rsidR="00D67F97" w:rsidRPr="00CA2148" w:rsidRDefault="00D67F97" w:rsidP="00887F09">
      <w:pPr>
        <w:spacing w:after="0"/>
        <w:rPr>
          <w:sz w:val="24"/>
          <w:szCs w:val="24"/>
          <w:lang w:val="uk-UA"/>
        </w:rPr>
      </w:pP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 xml:space="preserve">(П. І. Б.) </w:t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  <w:t xml:space="preserve">                          (підпис)</w:t>
      </w:r>
    </w:p>
    <w:p w:rsidR="00D67F97" w:rsidRPr="00CA2148" w:rsidRDefault="00D67F97" w:rsidP="00CA2148">
      <w:pPr>
        <w:spacing w:after="0"/>
        <w:ind w:left="709" w:firstLine="709"/>
        <w:rPr>
          <w:sz w:val="24"/>
          <w:szCs w:val="24"/>
          <w:lang w:val="uk-UA"/>
        </w:rPr>
      </w:pPr>
      <w:r w:rsidRPr="00CA2148">
        <w:rPr>
          <w:sz w:val="24"/>
          <w:szCs w:val="24"/>
          <w:lang w:val="uk-UA"/>
        </w:rPr>
        <w:t>тел.:</w:t>
      </w:r>
      <w:r w:rsidRPr="00CA2148">
        <w:rPr>
          <w:sz w:val="24"/>
          <w:szCs w:val="24"/>
          <w:lang w:val="uk-UA"/>
        </w:rPr>
        <w:tab/>
      </w:r>
      <w:r w:rsidRPr="00CA2148">
        <w:rPr>
          <w:sz w:val="24"/>
          <w:szCs w:val="24"/>
          <w:lang w:val="uk-UA"/>
        </w:rPr>
        <w:tab/>
      </w:r>
    </w:p>
    <w:p w:rsidR="00D67F97" w:rsidRPr="00CA2148" w:rsidRDefault="00D67F97" w:rsidP="00CA214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ru-RU"/>
        </w:rPr>
        <w:sectPr w:rsidR="00D67F97" w:rsidRPr="00CA2148" w:rsidSect="009E43BE">
          <w:pgSz w:w="15840" w:h="12240" w:orient="landscape"/>
          <w:pgMar w:top="709" w:right="1440" w:bottom="709" w:left="1440" w:header="720" w:footer="720" w:gutter="0"/>
          <w:cols w:space="720"/>
        </w:sectPr>
      </w:pPr>
    </w:p>
    <w:p w:rsidR="00D67F97" w:rsidRPr="008D42E2" w:rsidRDefault="00D67F97" w:rsidP="00CA21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42E2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КООРДИНАЦІЯ ТА КОНТРОЛЬ ЗА ХОДОМ ВИКОНАННЯ ПРОГРАМИ</w:t>
      </w:r>
    </w:p>
    <w:p w:rsidR="00D67F97" w:rsidRPr="008D42E2" w:rsidRDefault="00D67F97" w:rsidP="00B60A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D42E2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D67F97" w:rsidRPr="008D42E2" w:rsidRDefault="00D67F97" w:rsidP="00B60A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8D42E2" w:rsidRDefault="00D67F97" w:rsidP="00B60A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D42E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Загальна координація та контроль за ходом виконання Програми покладені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заступника голови Благовіщенської районної державної адміністрації.</w:t>
      </w:r>
      <w:r w:rsidRPr="008D42E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D67F97" w:rsidRPr="008D42E2" w:rsidRDefault="00D67F97" w:rsidP="00B60A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6F7845" w:rsidRDefault="00D67F97" w:rsidP="00B60A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8D42E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Звіт про виконання Програми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заслуховується на сесії районної</w:t>
      </w:r>
      <w:r w:rsidRPr="008D42E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ради після завершення її виконання.</w:t>
      </w:r>
    </w:p>
    <w:p w:rsidR="00D67F97" w:rsidRPr="006F7845" w:rsidRDefault="00D67F97" w:rsidP="00D3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67F97" w:rsidRPr="006F7845" w:rsidRDefault="00D67F97" w:rsidP="00D3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Pr="00A324D6" w:rsidRDefault="00D67F97" w:rsidP="00A324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7F97" w:rsidRPr="00BE1DD9" w:rsidRDefault="00D67F97" w:rsidP="0015626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67F97" w:rsidRPr="00BE1DD9" w:rsidSect="004B0541">
      <w:pgSz w:w="12240" w:h="15840" w:code="1"/>
      <w:pgMar w:top="851" w:right="1440" w:bottom="567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97" w:rsidRDefault="00D67F97" w:rsidP="00A55A46">
      <w:pPr>
        <w:spacing w:after="0" w:line="240" w:lineRule="auto"/>
      </w:pPr>
      <w:r>
        <w:separator/>
      </w:r>
    </w:p>
  </w:endnote>
  <w:endnote w:type="continuationSeparator" w:id="0">
    <w:p w:rsidR="00D67F97" w:rsidRDefault="00D67F97" w:rsidP="00A5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97" w:rsidRDefault="00D67F97">
    <w:pPr>
      <w:pStyle w:val="Footer"/>
      <w:jc w:val="center"/>
    </w:pPr>
  </w:p>
  <w:p w:rsidR="00D67F97" w:rsidRDefault="00D67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97" w:rsidRDefault="00D67F97" w:rsidP="00A55A46">
      <w:pPr>
        <w:spacing w:after="0" w:line="240" w:lineRule="auto"/>
      </w:pPr>
      <w:r>
        <w:separator/>
      </w:r>
    </w:p>
  </w:footnote>
  <w:footnote w:type="continuationSeparator" w:id="0">
    <w:p w:rsidR="00D67F97" w:rsidRDefault="00D67F97" w:rsidP="00A55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8A6"/>
    <w:multiLevelType w:val="hybridMultilevel"/>
    <w:tmpl w:val="E06E7F0C"/>
    <w:lvl w:ilvl="0" w:tplc="FA18F0F0">
      <w:start w:val="1"/>
      <w:numFmt w:val="decimal"/>
      <w:lvlText w:val="4. %1"/>
      <w:lvlJc w:val="left"/>
      <w:pPr>
        <w:ind w:left="28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322"/>
    <w:multiLevelType w:val="hybridMultilevel"/>
    <w:tmpl w:val="E794CB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5588"/>
    <w:multiLevelType w:val="hybridMultilevel"/>
    <w:tmpl w:val="75549DD4"/>
    <w:lvl w:ilvl="0" w:tplc="EFE014E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B0178"/>
    <w:multiLevelType w:val="multilevel"/>
    <w:tmpl w:val="A1303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739574B"/>
    <w:multiLevelType w:val="multilevel"/>
    <w:tmpl w:val="669E4A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2D1784"/>
    <w:multiLevelType w:val="hybridMultilevel"/>
    <w:tmpl w:val="9D565DB4"/>
    <w:lvl w:ilvl="0" w:tplc="7D48CA4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93652D"/>
    <w:multiLevelType w:val="hybridMultilevel"/>
    <w:tmpl w:val="8304BD52"/>
    <w:lvl w:ilvl="0" w:tplc="A886B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DF36657"/>
    <w:multiLevelType w:val="hybridMultilevel"/>
    <w:tmpl w:val="11A65E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B43A8"/>
    <w:multiLevelType w:val="hybridMultilevel"/>
    <w:tmpl w:val="7608AD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0C35"/>
    <w:multiLevelType w:val="hybridMultilevel"/>
    <w:tmpl w:val="11BEE9C2"/>
    <w:lvl w:ilvl="0" w:tplc="FA18F0F0">
      <w:start w:val="1"/>
      <w:numFmt w:val="decimal"/>
      <w:lvlText w:val="4. %1"/>
      <w:lvlJc w:val="left"/>
      <w:pPr>
        <w:ind w:left="28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41E4D"/>
    <w:multiLevelType w:val="multilevel"/>
    <w:tmpl w:val="CF9876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0BD656D"/>
    <w:multiLevelType w:val="multilevel"/>
    <w:tmpl w:val="A1303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15267CD8"/>
    <w:multiLevelType w:val="hybridMultilevel"/>
    <w:tmpl w:val="79C2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D641C"/>
    <w:multiLevelType w:val="multilevel"/>
    <w:tmpl w:val="CF9876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184B394C"/>
    <w:multiLevelType w:val="hybridMultilevel"/>
    <w:tmpl w:val="349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4E186C"/>
    <w:multiLevelType w:val="hybridMultilevel"/>
    <w:tmpl w:val="152EE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52D23"/>
    <w:multiLevelType w:val="hybridMultilevel"/>
    <w:tmpl w:val="245AD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1706C1"/>
    <w:multiLevelType w:val="multilevel"/>
    <w:tmpl w:val="83164D36"/>
    <w:lvl w:ilvl="0">
      <w:start w:val="25"/>
      <w:numFmt w:val="decimal"/>
      <w:lvlText w:val="%1"/>
      <w:lvlJc w:val="left"/>
      <w:pPr>
        <w:ind w:left="555" w:hanging="555"/>
      </w:pPr>
    </w:lvl>
    <w:lvl w:ilvl="1">
      <w:start w:val="30"/>
      <w:numFmt w:val="decimal"/>
      <w:lvlText w:val="%1-%2"/>
      <w:lvlJc w:val="left"/>
      <w:pPr>
        <w:ind w:left="555" w:hanging="555"/>
      </w:pPr>
      <w:rPr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8">
    <w:nsid w:val="2CE15D38"/>
    <w:multiLevelType w:val="hybridMultilevel"/>
    <w:tmpl w:val="0FE8A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C2603"/>
    <w:multiLevelType w:val="multilevel"/>
    <w:tmpl w:val="A1303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30F60AC0"/>
    <w:multiLevelType w:val="hybridMultilevel"/>
    <w:tmpl w:val="45E4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4E416C"/>
    <w:multiLevelType w:val="hybridMultilevel"/>
    <w:tmpl w:val="66B6B2AE"/>
    <w:lvl w:ilvl="0" w:tplc="D298AE58">
      <w:start w:val="1"/>
      <w:numFmt w:val="decimal"/>
      <w:lvlText w:val="2. 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BDC81940">
      <w:start w:val="1"/>
      <w:numFmt w:val="decimal"/>
      <w:lvlText w:val="3. %3"/>
      <w:lvlJc w:val="left"/>
      <w:pPr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3544F2D"/>
    <w:multiLevelType w:val="hybridMultilevel"/>
    <w:tmpl w:val="62E088A4"/>
    <w:lvl w:ilvl="0" w:tplc="FA18F0F0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17F80"/>
    <w:multiLevelType w:val="hybridMultilevel"/>
    <w:tmpl w:val="E794CB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F3B47"/>
    <w:multiLevelType w:val="hybridMultilevel"/>
    <w:tmpl w:val="814E17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223F34"/>
    <w:multiLevelType w:val="multilevel"/>
    <w:tmpl w:val="8048C8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8F5690"/>
    <w:multiLevelType w:val="multilevel"/>
    <w:tmpl w:val="FF46C6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D59162D"/>
    <w:multiLevelType w:val="multilevel"/>
    <w:tmpl w:val="A1303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520A008A"/>
    <w:multiLevelType w:val="hybridMultilevel"/>
    <w:tmpl w:val="B880BAF8"/>
    <w:lvl w:ilvl="0" w:tplc="A886B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4B32927"/>
    <w:multiLevelType w:val="hybridMultilevel"/>
    <w:tmpl w:val="6EFC4658"/>
    <w:lvl w:ilvl="0" w:tplc="45C645F0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81BDB"/>
    <w:multiLevelType w:val="hybridMultilevel"/>
    <w:tmpl w:val="99EA44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FD6DB1"/>
    <w:multiLevelType w:val="hybridMultilevel"/>
    <w:tmpl w:val="45E4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33C84"/>
    <w:multiLevelType w:val="multilevel"/>
    <w:tmpl w:val="A82636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2444E0"/>
    <w:multiLevelType w:val="hybridMultilevel"/>
    <w:tmpl w:val="2EA4B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C41DBC"/>
    <w:multiLevelType w:val="hybridMultilevel"/>
    <w:tmpl w:val="67C46B0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00615FA"/>
    <w:multiLevelType w:val="multilevel"/>
    <w:tmpl w:val="A82636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65041B82"/>
    <w:multiLevelType w:val="hybridMultilevel"/>
    <w:tmpl w:val="238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6B85B6A"/>
    <w:multiLevelType w:val="multilevel"/>
    <w:tmpl w:val="A1303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AE05C5E"/>
    <w:multiLevelType w:val="multilevel"/>
    <w:tmpl w:val="CF9876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710A5E16"/>
    <w:multiLevelType w:val="hybridMultilevel"/>
    <w:tmpl w:val="61488618"/>
    <w:lvl w:ilvl="0" w:tplc="FA18F0F0">
      <w:start w:val="1"/>
      <w:numFmt w:val="decimal"/>
      <w:lvlText w:val="4. %1"/>
      <w:lvlJc w:val="left"/>
      <w:pPr>
        <w:ind w:left="28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F33AC"/>
    <w:multiLevelType w:val="multilevel"/>
    <w:tmpl w:val="BF3A9E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0"/>
  </w:num>
  <w:num w:numId="9">
    <w:abstractNumId w:val="15"/>
  </w:num>
  <w:num w:numId="10">
    <w:abstractNumId w:val="31"/>
  </w:num>
  <w:num w:numId="11">
    <w:abstractNumId w:val="3"/>
  </w:num>
  <w:num w:numId="12">
    <w:abstractNumId w:val="23"/>
  </w:num>
  <w:num w:numId="13">
    <w:abstractNumId w:val="25"/>
  </w:num>
  <w:num w:numId="14">
    <w:abstractNumId w:val="4"/>
  </w:num>
  <w:num w:numId="15">
    <w:abstractNumId w:val="30"/>
  </w:num>
  <w:num w:numId="16">
    <w:abstractNumId w:val="24"/>
  </w:num>
  <w:num w:numId="17">
    <w:abstractNumId w:val="21"/>
  </w:num>
  <w:num w:numId="18">
    <w:abstractNumId w:val="18"/>
  </w:num>
  <w:num w:numId="19">
    <w:abstractNumId w:val="0"/>
  </w:num>
  <w:num w:numId="20">
    <w:abstractNumId w:val="39"/>
  </w:num>
  <w:num w:numId="21">
    <w:abstractNumId w:val="9"/>
  </w:num>
  <w:num w:numId="22">
    <w:abstractNumId w:val="26"/>
  </w:num>
  <w:num w:numId="23">
    <w:abstractNumId w:val="37"/>
  </w:num>
  <w:num w:numId="24">
    <w:abstractNumId w:val="27"/>
  </w:num>
  <w:num w:numId="25">
    <w:abstractNumId w:val="19"/>
  </w:num>
  <w:num w:numId="26">
    <w:abstractNumId w:val="13"/>
  </w:num>
  <w:num w:numId="27">
    <w:abstractNumId w:val="10"/>
  </w:num>
  <w:num w:numId="28">
    <w:abstractNumId w:val="38"/>
  </w:num>
  <w:num w:numId="29">
    <w:abstractNumId w:val="11"/>
  </w:num>
  <w:num w:numId="30">
    <w:abstractNumId w:val="22"/>
  </w:num>
  <w:num w:numId="31">
    <w:abstractNumId w:val="35"/>
  </w:num>
  <w:num w:numId="32">
    <w:abstractNumId w:val="32"/>
  </w:num>
  <w:num w:numId="33">
    <w:abstractNumId w:val="29"/>
  </w:num>
  <w:num w:numId="34">
    <w:abstractNumId w:val="1"/>
  </w:num>
  <w:num w:numId="35">
    <w:abstractNumId w:val="36"/>
  </w:num>
  <w:num w:numId="36">
    <w:abstractNumId w:val="5"/>
  </w:num>
  <w:num w:numId="37">
    <w:abstractNumId w:val="2"/>
  </w:num>
  <w:num w:numId="38">
    <w:abstractNumId w:val="6"/>
  </w:num>
  <w:num w:numId="39">
    <w:abstractNumId w:val="28"/>
  </w:num>
  <w:num w:numId="40">
    <w:abstractNumId w:val="40"/>
  </w:num>
  <w:num w:numId="41">
    <w:abstractNumId w:val="7"/>
  </w:num>
  <w:num w:numId="42">
    <w:abstractNumId w:val="14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A46"/>
    <w:rsid w:val="000055BD"/>
    <w:rsid w:val="0000562E"/>
    <w:rsid w:val="000104BB"/>
    <w:rsid w:val="000152F8"/>
    <w:rsid w:val="00020344"/>
    <w:rsid w:val="000250B8"/>
    <w:rsid w:val="0002740E"/>
    <w:rsid w:val="00030025"/>
    <w:rsid w:val="00030E98"/>
    <w:rsid w:val="0003172B"/>
    <w:rsid w:val="00033809"/>
    <w:rsid w:val="00036E86"/>
    <w:rsid w:val="00054D9E"/>
    <w:rsid w:val="00055678"/>
    <w:rsid w:val="00071263"/>
    <w:rsid w:val="000738E0"/>
    <w:rsid w:val="0007769A"/>
    <w:rsid w:val="00086336"/>
    <w:rsid w:val="00096CF8"/>
    <w:rsid w:val="000B10B1"/>
    <w:rsid w:val="000C0C2B"/>
    <w:rsid w:val="000C4180"/>
    <w:rsid w:val="000C6772"/>
    <w:rsid w:val="000D40B2"/>
    <w:rsid w:val="000D66AE"/>
    <w:rsid w:val="000F3724"/>
    <w:rsid w:val="000F5D86"/>
    <w:rsid w:val="00103285"/>
    <w:rsid w:val="00111622"/>
    <w:rsid w:val="00127862"/>
    <w:rsid w:val="00130BD1"/>
    <w:rsid w:val="0014267C"/>
    <w:rsid w:val="0014360E"/>
    <w:rsid w:val="00156260"/>
    <w:rsid w:val="00160E0E"/>
    <w:rsid w:val="00186CEC"/>
    <w:rsid w:val="00187FF1"/>
    <w:rsid w:val="001A0206"/>
    <w:rsid w:val="001A0705"/>
    <w:rsid w:val="001A1FDD"/>
    <w:rsid w:val="001A2D50"/>
    <w:rsid w:val="001A3320"/>
    <w:rsid w:val="001A3AC9"/>
    <w:rsid w:val="001A3BDC"/>
    <w:rsid w:val="001C32B6"/>
    <w:rsid w:val="001D1B9A"/>
    <w:rsid w:val="001D7659"/>
    <w:rsid w:val="001E0B94"/>
    <w:rsid w:val="001E310B"/>
    <w:rsid w:val="001E768B"/>
    <w:rsid w:val="001F3C29"/>
    <w:rsid w:val="001F4CD3"/>
    <w:rsid w:val="00202E6E"/>
    <w:rsid w:val="002218DB"/>
    <w:rsid w:val="00226B06"/>
    <w:rsid w:val="00231244"/>
    <w:rsid w:val="00236F3A"/>
    <w:rsid w:val="0024518D"/>
    <w:rsid w:val="002472CC"/>
    <w:rsid w:val="0025798F"/>
    <w:rsid w:val="00260228"/>
    <w:rsid w:val="00261240"/>
    <w:rsid w:val="00261A55"/>
    <w:rsid w:val="002629E0"/>
    <w:rsid w:val="0027307F"/>
    <w:rsid w:val="00274518"/>
    <w:rsid w:val="0028357B"/>
    <w:rsid w:val="0028364A"/>
    <w:rsid w:val="002912C7"/>
    <w:rsid w:val="00293AD9"/>
    <w:rsid w:val="002948C2"/>
    <w:rsid w:val="00297E05"/>
    <w:rsid w:val="002A55EB"/>
    <w:rsid w:val="002B484A"/>
    <w:rsid w:val="002B5B35"/>
    <w:rsid w:val="002B65C6"/>
    <w:rsid w:val="002B722F"/>
    <w:rsid w:val="002B7255"/>
    <w:rsid w:val="002C097A"/>
    <w:rsid w:val="002C57FE"/>
    <w:rsid w:val="002D02E9"/>
    <w:rsid w:val="002D265C"/>
    <w:rsid w:val="002D4BE7"/>
    <w:rsid w:val="002D6897"/>
    <w:rsid w:val="002E55E1"/>
    <w:rsid w:val="002F6C7C"/>
    <w:rsid w:val="0030382A"/>
    <w:rsid w:val="0030472A"/>
    <w:rsid w:val="003120FA"/>
    <w:rsid w:val="00313B81"/>
    <w:rsid w:val="003307E5"/>
    <w:rsid w:val="00334F66"/>
    <w:rsid w:val="00347579"/>
    <w:rsid w:val="00347AF1"/>
    <w:rsid w:val="00347E92"/>
    <w:rsid w:val="00351A7F"/>
    <w:rsid w:val="00354480"/>
    <w:rsid w:val="00360FEE"/>
    <w:rsid w:val="00363B6E"/>
    <w:rsid w:val="0037625A"/>
    <w:rsid w:val="0037782E"/>
    <w:rsid w:val="00380BAC"/>
    <w:rsid w:val="0038459A"/>
    <w:rsid w:val="0038510B"/>
    <w:rsid w:val="00386180"/>
    <w:rsid w:val="003B3646"/>
    <w:rsid w:val="003C1B93"/>
    <w:rsid w:val="003C3D0B"/>
    <w:rsid w:val="003D0B19"/>
    <w:rsid w:val="003D73E9"/>
    <w:rsid w:val="003F2301"/>
    <w:rsid w:val="00415A42"/>
    <w:rsid w:val="00420743"/>
    <w:rsid w:val="00420B6D"/>
    <w:rsid w:val="00421501"/>
    <w:rsid w:val="0045355A"/>
    <w:rsid w:val="004560DA"/>
    <w:rsid w:val="00471F04"/>
    <w:rsid w:val="0047686C"/>
    <w:rsid w:val="00477413"/>
    <w:rsid w:val="00482D3C"/>
    <w:rsid w:val="004838D5"/>
    <w:rsid w:val="00491993"/>
    <w:rsid w:val="004B0541"/>
    <w:rsid w:val="004B055F"/>
    <w:rsid w:val="004B3E1B"/>
    <w:rsid w:val="004C64DD"/>
    <w:rsid w:val="004D34B5"/>
    <w:rsid w:val="004D4FB0"/>
    <w:rsid w:val="004E6F68"/>
    <w:rsid w:val="004E7306"/>
    <w:rsid w:val="004F1EF2"/>
    <w:rsid w:val="004F61FF"/>
    <w:rsid w:val="005069E0"/>
    <w:rsid w:val="0051630C"/>
    <w:rsid w:val="00521AAB"/>
    <w:rsid w:val="00560CE4"/>
    <w:rsid w:val="00561FA4"/>
    <w:rsid w:val="00567445"/>
    <w:rsid w:val="00567570"/>
    <w:rsid w:val="00567C22"/>
    <w:rsid w:val="00570E6B"/>
    <w:rsid w:val="005721B4"/>
    <w:rsid w:val="00573418"/>
    <w:rsid w:val="00581569"/>
    <w:rsid w:val="00590B2F"/>
    <w:rsid w:val="00590E01"/>
    <w:rsid w:val="0059380E"/>
    <w:rsid w:val="00595B13"/>
    <w:rsid w:val="00597F04"/>
    <w:rsid w:val="005A2AAB"/>
    <w:rsid w:val="005A623E"/>
    <w:rsid w:val="005A6AEC"/>
    <w:rsid w:val="005A6F13"/>
    <w:rsid w:val="005A7A3B"/>
    <w:rsid w:val="005B159A"/>
    <w:rsid w:val="005B3968"/>
    <w:rsid w:val="005C40BD"/>
    <w:rsid w:val="005C4A20"/>
    <w:rsid w:val="005D1302"/>
    <w:rsid w:val="005D319A"/>
    <w:rsid w:val="005E1394"/>
    <w:rsid w:val="005E1946"/>
    <w:rsid w:val="005E4437"/>
    <w:rsid w:val="00600CC4"/>
    <w:rsid w:val="0060193C"/>
    <w:rsid w:val="00602A40"/>
    <w:rsid w:val="00606062"/>
    <w:rsid w:val="00623385"/>
    <w:rsid w:val="00627B3B"/>
    <w:rsid w:val="00631EB3"/>
    <w:rsid w:val="006371FC"/>
    <w:rsid w:val="00652406"/>
    <w:rsid w:val="0065421E"/>
    <w:rsid w:val="00670A4F"/>
    <w:rsid w:val="006845DE"/>
    <w:rsid w:val="00684827"/>
    <w:rsid w:val="006864BA"/>
    <w:rsid w:val="006910E7"/>
    <w:rsid w:val="006A30A5"/>
    <w:rsid w:val="006C1C28"/>
    <w:rsid w:val="006C22CA"/>
    <w:rsid w:val="006D7852"/>
    <w:rsid w:val="006E72DB"/>
    <w:rsid w:val="006F1440"/>
    <w:rsid w:val="006F3511"/>
    <w:rsid w:val="006F7845"/>
    <w:rsid w:val="007012FB"/>
    <w:rsid w:val="00715C52"/>
    <w:rsid w:val="007468EB"/>
    <w:rsid w:val="007725C3"/>
    <w:rsid w:val="0079566A"/>
    <w:rsid w:val="00795CBF"/>
    <w:rsid w:val="007A7D08"/>
    <w:rsid w:val="007C40D8"/>
    <w:rsid w:val="007E06D3"/>
    <w:rsid w:val="007E31E2"/>
    <w:rsid w:val="007E5E92"/>
    <w:rsid w:val="007E7A52"/>
    <w:rsid w:val="007F049E"/>
    <w:rsid w:val="007F485F"/>
    <w:rsid w:val="00800D14"/>
    <w:rsid w:val="0080468C"/>
    <w:rsid w:val="008117C1"/>
    <w:rsid w:val="00823D41"/>
    <w:rsid w:val="0083077A"/>
    <w:rsid w:val="00831898"/>
    <w:rsid w:val="00850285"/>
    <w:rsid w:val="00854F7A"/>
    <w:rsid w:val="00866A0D"/>
    <w:rsid w:val="00871764"/>
    <w:rsid w:val="00872236"/>
    <w:rsid w:val="00882EAE"/>
    <w:rsid w:val="00887F09"/>
    <w:rsid w:val="00892035"/>
    <w:rsid w:val="008A196A"/>
    <w:rsid w:val="008B3B1C"/>
    <w:rsid w:val="008C0C08"/>
    <w:rsid w:val="008C668B"/>
    <w:rsid w:val="008D0742"/>
    <w:rsid w:val="008D42E2"/>
    <w:rsid w:val="0090222C"/>
    <w:rsid w:val="00905D7B"/>
    <w:rsid w:val="00912273"/>
    <w:rsid w:val="009151EC"/>
    <w:rsid w:val="0092147B"/>
    <w:rsid w:val="00922BE7"/>
    <w:rsid w:val="00926EBE"/>
    <w:rsid w:val="0092729D"/>
    <w:rsid w:val="009377DE"/>
    <w:rsid w:val="00957F3C"/>
    <w:rsid w:val="00962AA7"/>
    <w:rsid w:val="009758CE"/>
    <w:rsid w:val="00977DE0"/>
    <w:rsid w:val="009848F5"/>
    <w:rsid w:val="009A5215"/>
    <w:rsid w:val="009B0AE1"/>
    <w:rsid w:val="009B3BCB"/>
    <w:rsid w:val="009B44CE"/>
    <w:rsid w:val="009B49F6"/>
    <w:rsid w:val="009B733D"/>
    <w:rsid w:val="009C7490"/>
    <w:rsid w:val="009C75F5"/>
    <w:rsid w:val="009E43BE"/>
    <w:rsid w:val="009E4B60"/>
    <w:rsid w:val="009E5EA2"/>
    <w:rsid w:val="009F21C3"/>
    <w:rsid w:val="009F3B7D"/>
    <w:rsid w:val="009F4120"/>
    <w:rsid w:val="009F598A"/>
    <w:rsid w:val="009F7140"/>
    <w:rsid w:val="009F7546"/>
    <w:rsid w:val="00A117C3"/>
    <w:rsid w:val="00A12DFB"/>
    <w:rsid w:val="00A14CDE"/>
    <w:rsid w:val="00A26255"/>
    <w:rsid w:val="00A324D6"/>
    <w:rsid w:val="00A55A46"/>
    <w:rsid w:val="00A56F58"/>
    <w:rsid w:val="00A763F6"/>
    <w:rsid w:val="00A77122"/>
    <w:rsid w:val="00A80C95"/>
    <w:rsid w:val="00A9312B"/>
    <w:rsid w:val="00A97618"/>
    <w:rsid w:val="00AA413F"/>
    <w:rsid w:val="00AA4A8D"/>
    <w:rsid w:val="00AB09AC"/>
    <w:rsid w:val="00AB1FE7"/>
    <w:rsid w:val="00AC0E79"/>
    <w:rsid w:val="00AE13B5"/>
    <w:rsid w:val="00AE5A89"/>
    <w:rsid w:val="00AF137B"/>
    <w:rsid w:val="00B00123"/>
    <w:rsid w:val="00B00B9E"/>
    <w:rsid w:val="00B04C3C"/>
    <w:rsid w:val="00B3009C"/>
    <w:rsid w:val="00B40F88"/>
    <w:rsid w:val="00B51B78"/>
    <w:rsid w:val="00B53218"/>
    <w:rsid w:val="00B60440"/>
    <w:rsid w:val="00B60A10"/>
    <w:rsid w:val="00B60CE6"/>
    <w:rsid w:val="00B65DAC"/>
    <w:rsid w:val="00B6706C"/>
    <w:rsid w:val="00B73D32"/>
    <w:rsid w:val="00B80065"/>
    <w:rsid w:val="00B95FEB"/>
    <w:rsid w:val="00BA7282"/>
    <w:rsid w:val="00BA7A7F"/>
    <w:rsid w:val="00BB0EF0"/>
    <w:rsid w:val="00BB3CF2"/>
    <w:rsid w:val="00BB4407"/>
    <w:rsid w:val="00BC24FB"/>
    <w:rsid w:val="00BD2CCA"/>
    <w:rsid w:val="00BE1DD9"/>
    <w:rsid w:val="00BE5D5D"/>
    <w:rsid w:val="00BE6C78"/>
    <w:rsid w:val="00BF5DE0"/>
    <w:rsid w:val="00C04736"/>
    <w:rsid w:val="00C11A6F"/>
    <w:rsid w:val="00C12F95"/>
    <w:rsid w:val="00C20451"/>
    <w:rsid w:val="00C20C6E"/>
    <w:rsid w:val="00C22F30"/>
    <w:rsid w:val="00C33061"/>
    <w:rsid w:val="00C40F20"/>
    <w:rsid w:val="00C4713D"/>
    <w:rsid w:val="00C55BEE"/>
    <w:rsid w:val="00C62052"/>
    <w:rsid w:val="00C70899"/>
    <w:rsid w:val="00C85D85"/>
    <w:rsid w:val="00CA2148"/>
    <w:rsid w:val="00CC2CA2"/>
    <w:rsid w:val="00CD0F9B"/>
    <w:rsid w:val="00D01988"/>
    <w:rsid w:val="00D372D1"/>
    <w:rsid w:val="00D40FA2"/>
    <w:rsid w:val="00D43A4F"/>
    <w:rsid w:val="00D4560A"/>
    <w:rsid w:val="00D67F97"/>
    <w:rsid w:val="00D8297E"/>
    <w:rsid w:val="00D869AD"/>
    <w:rsid w:val="00D92005"/>
    <w:rsid w:val="00D92ABA"/>
    <w:rsid w:val="00D9797A"/>
    <w:rsid w:val="00DA09A8"/>
    <w:rsid w:val="00DA2E72"/>
    <w:rsid w:val="00DA69E9"/>
    <w:rsid w:val="00DA7110"/>
    <w:rsid w:val="00DA7DC4"/>
    <w:rsid w:val="00DB1881"/>
    <w:rsid w:val="00DB534A"/>
    <w:rsid w:val="00DC308B"/>
    <w:rsid w:val="00DC5DB2"/>
    <w:rsid w:val="00DC6BAA"/>
    <w:rsid w:val="00DD5DD3"/>
    <w:rsid w:val="00DF68AE"/>
    <w:rsid w:val="00E02B52"/>
    <w:rsid w:val="00E06EF5"/>
    <w:rsid w:val="00E17B29"/>
    <w:rsid w:val="00E22659"/>
    <w:rsid w:val="00E261C7"/>
    <w:rsid w:val="00E27623"/>
    <w:rsid w:val="00E46E21"/>
    <w:rsid w:val="00E5564A"/>
    <w:rsid w:val="00E61431"/>
    <w:rsid w:val="00E73C4D"/>
    <w:rsid w:val="00E75367"/>
    <w:rsid w:val="00E8472E"/>
    <w:rsid w:val="00E86BA8"/>
    <w:rsid w:val="00E9340F"/>
    <w:rsid w:val="00E9657E"/>
    <w:rsid w:val="00EA19A8"/>
    <w:rsid w:val="00EB3F30"/>
    <w:rsid w:val="00EB7672"/>
    <w:rsid w:val="00EC08D5"/>
    <w:rsid w:val="00ED4E1E"/>
    <w:rsid w:val="00EE044C"/>
    <w:rsid w:val="00EE22B4"/>
    <w:rsid w:val="00EE6857"/>
    <w:rsid w:val="00EF68E3"/>
    <w:rsid w:val="00EF6E70"/>
    <w:rsid w:val="00F067C8"/>
    <w:rsid w:val="00F07B9C"/>
    <w:rsid w:val="00F20E46"/>
    <w:rsid w:val="00F23140"/>
    <w:rsid w:val="00F24510"/>
    <w:rsid w:val="00F2478A"/>
    <w:rsid w:val="00F24A8D"/>
    <w:rsid w:val="00F37FA6"/>
    <w:rsid w:val="00F40499"/>
    <w:rsid w:val="00F40F33"/>
    <w:rsid w:val="00F43989"/>
    <w:rsid w:val="00F4668F"/>
    <w:rsid w:val="00F605A2"/>
    <w:rsid w:val="00F71D18"/>
    <w:rsid w:val="00F7537E"/>
    <w:rsid w:val="00F760EE"/>
    <w:rsid w:val="00F83005"/>
    <w:rsid w:val="00FA0AE4"/>
    <w:rsid w:val="00FA57C4"/>
    <w:rsid w:val="00FB06AA"/>
    <w:rsid w:val="00FC0E26"/>
    <w:rsid w:val="00FC3089"/>
    <w:rsid w:val="00FD4C0E"/>
    <w:rsid w:val="00FD7B9E"/>
    <w:rsid w:val="00FE01FC"/>
    <w:rsid w:val="00FE4EEE"/>
    <w:rsid w:val="00FE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95CB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0E98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98"/>
    <w:pPr>
      <w:keepNext/>
      <w:keepLines/>
      <w:spacing w:before="200" w:after="0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98"/>
    <w:pPr>
      <w:keepNext/>
      <w:keepLines/>
      <w:spacing w:before="200" w:after="0"/>
      <w:outlineLvl w:val="2"/>
    </w:pPr>
    <w:rPr>
      <w:rFonts w:ascii="Calibri Light" w:hAnsi="Calibri Light" w:cs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0E98"/>
    <w:pPr>
      <w:keepNext/>
      <w:keepLines/>
      <w:spacing w:before="200" w:after="0"/>
      <w:outlineLvl w:val="3"/>
    </w:pPr>
    <w:rPr>
      <w:rFonts w:ascii="Calibri Light" w:hAnsi="Calibri Light" w:cs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0E98"/>
    <w:pPr>
      <w:keepNext/>
      <w:keepLines/>
      <w:spacing w:before="200" w:after="0"/>
      <w:outlineLvl w:val="4"/>
    </w:pPr>
    <w:rPr>
      <w:rFonts w:ascii="Calibri Light" w:hAnsi="Calibri Light" w:cs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0E98"/>
    <w:pPr>
      <w:keepNext/>
      <w:keepLines/>
      <w:spacing w:before="200" w:after="0"/>
      <w:outlineLvl w:val="5"/>
    </w:pPr>
    <w:rPr>
      <w:rFonts w:ascii="Calibri Light" w:hAnsi="Calibri Light" w:cs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0E98"/>
    <w:pPr>
      <w:keepNext/>
      <w:keepLines/>
      <w:spacing w:before="200" w:after="0"/>
      <w:outlineLvl w:val="6"/>
    </w:pPr>
    <w:rPr>
      <w:rFonts w:ascii="Calibri Light" w:hAnsi="Calibri Light" w:cs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0E98"/>
    <w:pPr>
      <w:keepNext/>
      <w:keepLines/>
      <w:spacing w:before="200" w:after="0"/>
      <w:outlineLvl w:val="7"/>
    </w:pPr>
    <w:rPr>
      <w:rFonts w:ascii="Calibri Light" w:hAnsi="Calibri Light" w:cs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0E98"/>
    <w:pPr>
      <w:keepNext/>
      <w:keepLines/>
      <w:spacing w:before="200" w:after="0"/>
      <w:outlineLvl w:val="8"/>
    </w:pPr>
    <w:rPr>
      <w:rFonts w:ascii="Calibri Light" w:hAnsi="Calibri Light" w:cs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E98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0E98"/>
    <w:rPr>
      <w:rFonts w:ascii="Calibri Light" w:hAnsi="Calibri Light" w:cs="Calibri Light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0E98"/>
    <w:rPr>
      <w:rFonts w:ascii="Calibri Light" w:hAnsi="Calibri Light" w:cs="Calibri Light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0E98"/>
    <w:rPr>
      <w:rFonts w:ascii="Calibri Light" w:hAnsi="Calibri Light" w:cs="Calibri Light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0E98"/>
    <w:rPr>
      <w:rFonts w:ascii="Calibri Light" w:hAnsi="Calibri Light" w:cs="Calibri Light"/>
      <w:color w:val="1F4D7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0E98"/>
    <w:rPr>
      <w:rFonts w:ascii="Calibri Light" w:hAnsi="Calibri Light" w:cs="Calibri Light"/>
      <w:i/>
      <w:iCs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0E98"/>
    <w:rPr>
      <w:rFonts w:ascii="Calibri Light" w:hAnsi="Calibri Light" w:cs="Calibri Ligh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0E98"/>
    <w:rPr>
      <w:rFonts w:ascii="Calibri Light" w:hAnsi="Calibri Light" w:cs="Calibri Light"/>
      <w:color w:val="5B9BD5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0E98"/>
    <w:rPr>
      <w:rFonts w:ascii="Calibri Light" w:hAnsi="Calibri Light" w:cs="Calibri Light"/>
      <w:i/>
      <w:iCs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55A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5A46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A55A46"/>
    <w:pPr>
      <w:ind w:left="720"/>
    </w:pPr>
  </w:style>
  <w:style w:type="character" w:styleId="FootnoteReference">
    <w:name w:val="footnote reference"/>
    <w:basedOn w:val="DefaultParagraphFont"/>
    <w:uiPriority w:val="99"/>
    <w:semiHidden/>
    <w:rsid w:val="00A55A46"/>
    <w:rPr>
      <w:vertAlign w:val="superscript"/>
    </w:rPr>
  </w:style>
  <w:style w:type="table" w:customStyle="1" w:styleId="ListTable4-Accent11">
    <w:name w:val="List Table 4 - Accent 11"/>
    <w:uiPriority w:val="99"/>
    <w:rsid w:val="00A55A46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2B7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2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2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6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6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6EBE"/>
    <w:rPr>
      <w:b/>
      <w:bCs/>
    </w:rPr>
  </w:style>
  <w:style w:type="paragraph" w:customStyle="1" w:styleId="rvps2">
    <w:name w:val="rvps2"/>
    <w:basedOn w:val="Normal"/>
    <w:uiPriority w:val="99"/>
    <w:rsid w:val="00570E6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030E98"/>
    <w:rPr>
      <w:rFonts w:cs="Calibri"/>
    </w:rPr>
  </w:style>
  <w:style w:type="paragraph" w:styleId="Header">
    <w:name w:val="header"/>
    <w:basedOn w:val="Normal"/>
    <w:link w:val="HeaderChar"/>
    <w:uiPriority w:val="99"/>
    <w:rsid w:val="00EA19A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9A8"/>
  </w:style>
  <w:style w:type="paragraph" w:styleId="Footer">
    <w:name w:val="footer"/>
    <w:basedOn w:val="Normal"/>
    <w:link w:val="FooterChar"/>
    <w:uiPriority w:val="99"/>
    <w:rsid w:val="00EA19A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9A8"/>
  </w:style>
  <w:style w:type="table" w:styleId="TableGrid">
    <w:name w:val="Table Grid"/>
    <w:basedOn w:val="TableNormal"/>
    <w:uiPriority w:val="99"/>
    <w:rsid w:val="00F245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sid w:val="00DC308B"/>
    <w:rPr>
      <w:rFonts w:cs="Calibri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GridTable6Colorful-Accent11">
    <w:name w:val="Grid Table 6 Colorful - Accent 11"/>
    <w:uiPriority w:val="99"/>
    <w:rsid w:val="00DC308B"/>
    <w:rPr>
      <w:rFonts w:cs="Calibri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6Colorful-Accent51">
    <w:name w:val="Grid Table 6 Colorful - Accent 51"/>
    <w:uiPriority w:val="99"/>
    <w:rsid w:val="00DC308B"/>
    <w:rPr>
      <w:rFonts w:cs="Calibri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aption">
    <w:name w:val="caption"/>
    <w:basedOn w:val="Normal"/>
    <w:next w:val="Normal"/>
    <w:uiPriority w:val="99"/>
    <w:qFormat/>
    <w:rsid w:val="00030E98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30E98"/>
    <w:pPr>
      <w:pBdr>
        <w:bottom w:val="single" w:sz="8" w:space="4" w:color="5B9BD5"/>
      </w:pBdr>
      <w:spacing w:after="300" w:line="240" w:lineRule="auto"/>
    </w:pPr>
    <w:rPr>
      <w:rFonts w:ascii="Calibri Light" w:hAnsi="Calibri Light" w:cs="Calibri Light"/>
      <w:color w:val="323E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30E98"/>
    <w:rPr>
      <w:rFonts w:ascii="Calibri Light" w:hAnsi="Calibri Light" w:cs="Calibri Light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30E98"/>
    <w:pPr>
      <w:numPr>
        <w:ilvl w:val="1"/>
      </w:numPr>
    </w:pPr>
    <w:rPr>
      <w:rFonts w:ascii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30E98"/>
    <w:rPr>
      <w:rFonts w:ascii="Calibri Light" w:hAnsi="Calibri Light" w:cs="Calibri Light"/>
      <w:i/>
      <w:iCs/>
      <w:color w:val="5B9BD5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030E98"/>
    <w:rPr>
      <w:b/>
      <w:bCs/>
    </w:rPr>
  </w:style>
  <w:style w:type="character" w:styleId="Emphasis">
    <w:name w:val="Emphasis"/>
    <w:basedOn w:val="DefaultParagraphFont"/>
    <w:uiPriority w:val="99"/>
    <w:qFormat/>
    <w:rsid w:val="00030E98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030E9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030E9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30E9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30E98"/>
    <w:rPr>
      <w:b/>
      <w:bCs/>
      <w:i/>
      <w:iCs/>
      <w:color w:val="5B9BD5"/>
    </w:rPr>
  </w:style>
  <w:style w:type="character" w:styleId="SubtleEmphasis">
    <w:name w:val="Subtle Emphasis"/>
    <w:basedOn w:val="DefaultParagraphFont"/>
    <w:uiPriority w:val="99"/>
    <w:qFormat/>
    <w:rsid w:val="00030E98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30E98"/>
    <w:rPr>
      <w:b/>
      <w:bCs/>
      <w:i/>
      <w:iCs/>
      <w:color w:val="5B9BD5"/>
    </w:rPr>
  </w:style>
  <w:style w:type="character" w:styleId="SubtleReference">
    <w:name w:val="Subtle Reference"/>
    <w:basedOn w:val="DefaultParagraphFont"/>
    <w:uiPriority w:val="99"/>
    <w:qFormat/>
    <w:rsid w:val="00030E98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030E98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30E9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30E98"/>
    <w:pPr>
      <w:outlineLvl w:val="9"/>
    </w:pPr>
  </w:style>
  <w:style w:type="character" w:styleId="Hyperlink">
    <w:name w:val="Hyperlink"/>
    <w:basedOn w:val="DefaultParagraphFont"/>
    <w:uiPriority w:val="99"/>
    <w:rsid w:val="00FB06AA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FB06AA"/>
    <w:rPr>
      <w:color w:val="auto"/>
      <w:u w:val="single"/>
    </w:rPr>
  </w:style>
  <w:style w:type="character" w:customStyle="1" w:styleId="rvts9">
    <w:name w:val="rvts9"/>
    <w:basedOn w:val="DefaultParagraphFont"/>
    <w:uiPriority w:val="99"/>
    <w:rsid w:val="00600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16</Pages>
  <Words>2959</Words>
  <Characters>16872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роботи співробітника підрозділу пробації з повнолітніми суб’єктами пробації засуджених до позбавлення або обмеженням волі, які звільненні від відбування покарання з випробуванням</dc:title>
  <dc:subject/>
  <dc:creator>Департамент пробації Міністерства юстиції України                                                          Проектний офіс з питань пробації Міністерства юстиції України                                                    2017 рік</dc:creator>
  <cp:keywords/>
  <dc:description/>
  <cp:lastModifiedBy>Алла</cp:lastModifiedBy>
  <cp:revision>23</cp:revision>
  <cp:lastPrinted>2020-04-14T16:33:00Z</cp:lastPrinted>
  <dcterms:created xsi:type="dcterms:W3CDTF">2020-04-22T19:46:00Z</dcterms:created>
  <dcterms:modified xsi:type="dcterms:W3CDTF">2020-05-18T10:49:00Z</dcterms:modified>
</cp:coreProperties>
</file>